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</w:t>
      </w:r>
      <w:r w:rsidR="002C59E8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="002C59E8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2C59E8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2C59E8">
        <w:rPr>
          <w:rFonts w:ascii="Times New Roman" w:hAnsi="Times New Roman" w:cs="Times New Roman"/>
          <w:sz w:val="28"/>
          <w:szCs w:val="28"/>
        </w:rPr>
        <w:t>, д. 3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327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165327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165327" w:rsidRPr="002A41F1" w:rsidRDefault="00165327" w:rsidP="00165327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F6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Краснокутский район,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6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2C59E8">
        <w:rPr>
          <w:rFonts w:ascii="Times New Roman" w:hAnsi="Times New Roman" w:cs="Times New Roman"/>
          <w:b/>
          <w:sz w:val="24"/>
          <w:szCs w:val="24"/>
        </w:rPr>
        <w:t>3</w:t>
      </w:r>
      <w:r w:rsidR="004C5CA5">
        <w:rPr>
          <w:sz w:val="24"/>
          <w:szCs w:val="24"/>
        </w:rPr>
        <w:t xml:space="preserve">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F6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Краснокутский район, </w:t>
      </w:r>
      <w:r w:rsidR="00FF6704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FF6704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FF6704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тер. </w:t>
      </w:r>
      <w:proofErr w:type="spellStart"/>
      <w:r w:rsidR="00FF6704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FF6704">
        <w:rPr>
          <w:rFonts w:ascii="Times New Roman" w:hAnsi="Times New Roman" w:cs="Times New Roman"/>
          <w:b/>
          <w:sz w:val="24"/>
          <w:szCs w:val="24"/>
        </w:rPr>
        <w:t>, д. 3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04" w:rsidRDefault="00FF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Краснокутский район,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               </w:t>
            </w:r>
          </w:p>
          <w:p w:rsidR="00E320EB" w:rsidRDefault="00FF6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D434B1" w:rsidP="00C35657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35657">
              <w:rPr>
                <w:b/>
                <w:bCs/>
              </w:rPr>
              <w:t>631</w:t>
            </w:r>
            <w:r>
              <w:rPr>
                <w:b/>
                <w:bCs/>
              </w:rPr>
              <w:t>,90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3033,12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3791,40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3033,12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227,48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1137,42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</w:t>
            </w:r>
            <w:r w:rsidRPr="00EF1018">
              <w:lastRenderedPageBreak/>
              <w:t>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21080,18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1516,56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5687,10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1895,70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5307,96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379,14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5687,10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9251,02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1516,56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25933,18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177E7C" w:rsidP="00C21D40">
            <w:pPr>
              <w:widowControl/>
              <w:autoSpaceDE/>
              <w:autoSpaceDN/>
              <w:adjustRightInd/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177E7C" w:rsidP="00C21D40">
            <w:pPr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</w:t>
            </w:r>
            <w:r w:rsidRPr="007F1071">
              <w:rPr>
                <w:b/>
                <w:bCs/>
              </w:rPr>
              <w:lastRenderedPageBreak/>
              <w:t>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177E7C" w:rsidP="00C21D40">
            <w:pPr>
              <w:jc w:val="center"/>
            </w:pPr>
            <w:r>
              <w:lastRenderedPageBreak/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77E7C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98576,40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77E7C" w:rsidP="00EF1018">
            <w:pPr>
              <w:widowControl/>
              <w:autoSpaceDE/>
              <w:autoSpaceDN/>
              <w:adjustRightInd/>
              <w:jc w:val="center"/>
            </w:pPr>
            <w:r>
              <w:t>6369,55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77E7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6369,55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77E7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FF6704">
              <w:rPr>
                <w:b/>
              </w:rPr>
              <w:t xml:space="preserve"> </w:t>
            </w:r>
            <w:r>
              <w:rPr>
                <w:b/>
              </w:rPr>
              <w:t>945,95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F6704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104 945,95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28" w:rsidRDefault="00CA7A28" w:rsidP="00070D95">
      <w:r>
        <w:separator/>
      </w:r>
    </w:p>
  </w:endnote>
  <w:endnote w:type="continuationSeparator" w:id="0">
    <w:p w:rsidR="00CA7A28" w:rsidRDefault="00CA7A28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28" w:rsidRDefault="00CA7A28" w:rsidP="00070D95">
      <w:r>
        <w:separator/>
      </w:r>
    </w:p>
  </w:footnote>
  <w:footnote w:type="continuationSeparator" w:id="0">
    <w:p w:rsidR="00CA7A28" w:rsidRDefault="00CA7A28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65327"/>
    <w:rsid w:val="00177E7C"/>
    <w:rsid w:val="00196B07"/>
    <w:rsid w:val="00234CF6"/>
    <w:rsid w:val="0026334C"/>
    <w:rsid w:val="00293A6C"/>
    <w:rsid w:val="002C59E8"/>
    <w:rsid w:val="002F544D"/>
    <w:rsid w:val="00355788"/>
    <w:rsid w:val="00373B67"/>
    <w:rsid w:val="00373F76"/>
    <w:rsid w:val="00382D02"/>
    <w:rsid w:val="00384CAD"/>
    <w:rsid w:val="003A0124"/>
    <w:rsid w:val="003E2E80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656A40"/>
    <w:rsid w:val="00660F1D"/>
    <w:rsid w:val="006745B8"/>
    <w:rsid w:val="0067500C"/>
    <w:rsid w:val="00676FF5"/>
    <w:rsid w:val="006A41FF"/>
    <w:rsid w:val="007725A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35E17"/>
    <w:rsid w:val="00974625"/>
    <w:rsid w:val="00996636"/>
    <w:rsid w:val="00A5479D"/>
    <w:rsid w:val="00A943A9"/>
    <w:rsid w:val="00AA756F"/>
    <w:rsid w:val="00AB58E3"/>
    <w:rsid w:val="00AC44CA"/>
    <w:rsid w:val="00AD3FC4"/>
    <w:rsid w:val="00AE6B09"/>
    <w:rsid w:val="00AF4500"/>
    <w:rsid w:val="00B27AA1"/>
    <w:rsid w:val="00BE111E"/>
    <w:rsid w:val="00BE17A1"/>
    <w:rsid w:val="00C178A8"/>
    <w:rsid w:val="00C21D40"/>
    <w:rsid w:val="00C35657"/>
    <w:rsid w:val="00C45071"/>
    <w:rsid w:val="00C65F31"/>
    <w:rsid w:val="00CA653C"/>
    <w:rsid w:val="00CA7A28"/>
    <w:rsid w:val="00D434B1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50</Pages>
  <Words>21001</Words>
  <Characters>119709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63</cp:revision>
  <cp:lastPrinted>2022-04-19T06:39:00Z</cp:lastPrinted>
  <dcterms:created xsi:type="dcterms:W3CDTF">2018-01-10T11:04:00Z</dcterms:created>
  <dcterms:modified xsi:type="dcterms:W3CDTF">2022-07-05T07:09:00Z</dcterms:modified>
</cp:coreProperties>
</file>