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1080" w:line="300" w:lineRule="exact"/>
        <w:contextualSpacing w:val="false"/>
        <w:jc w:val="center"/>
      </w:pPr>
      <w:r>
        <w:rPr/>
        <w:drawing>
          <wp:inline distB="0" distL="0" distR="0" distT="0">
            <wp:extent cx="561975" cy="67627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jc w:val="center"/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>
      <w:pPr>
        <w:pStyle w:val="style24"/>
        <w:jc w:val="center"/>
      </w:pPr>
      <w:r>
        <w:rPr>
          <w:rFonts w:ascii="Times New Roman" w:hAnsi="Times New Roman"/>
          <w:b/>
          <w:sz w:val="26"/>
          <w:szCs w:val="26"/>
        </w:rPr>
        <w:t>КОМСОМОЛЬСКОГО МУНИЦИПАЛЬНОГО ОБРАЗОВАНИЯ</w:t>
      </w:r>
    </w:p>
    <w:p>
      <w:pPr>
        <w:pStyle w:val="style24"/>
        <w:jc w:val="center"/>
      </w:pPr>
      <w:r>
        <w:rPr>
          <w:rFonts w:ascii="Times New Roman" w:hAnsi="Times New Roman"/>
          <w:b/>
          <w:sz w:val="26"/>
          <w:szCs w:val="26"/>
        </w:rPr>
        <w:t>КРАНОКУТСКОГО МУНИЦИПАЛЬНОГО РАЙОНА</w:t>
      </w:r>
    </w:p>
    <w:p>
      <w:pPr>
        <w:pStyle w:val="style24"/>
        <w:jc w:val="center"/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>
      <w:pPr>
        <w:pStyle w:val="style24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>
      <w:pPr>
        <w:pStyle w:val="style24"/>
        <w:jc w:val="center"/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>
      <w:pPr>
        <w:pStyle w:val="style0"/>
        <w:jc w:val="center"/>
      </w:pPr>
      <w:r>
        <w:rPr>
          <w:b/>
          <w:sz w:val="28"/>
          <w:szCs w:val="28"/>
        </w:rPr>
        <w:t>от 13 июня 2024 года № 21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О внесении изменений в постановление от 24.12.2021 года № 70 «Об утверждении Положения о системе управления охраной труда в администрации Комсомольского муниципального образования Краснокутского муниципального района Саратовской области»</w:t>
      </w:r>
    </w:p>
    <w:p>
      <w:pPr>
        <w:pStyle w:val="style0"/>
        <w:ind w:hanging="0" w:left="0" w:right="4676"/>
        <w:jc w:val="center"/>
      </w:pPr>
      <w:r>
        <w:rPr/>
      </w:r>
    </w:p>
    <w:p>
      <w:pPr>
        <w:pStyle w:val="style0"/>
        <w:ind w:firstLine="284" w:left="0" w:right="-2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протестом прокуратуры Краснокутского района от 31.05.2024г. №7-02-2024/178, руководствуясь приказом Министерства труда и социальной защиты Российской Федерации от 22.09.2021г. № 650н, статьей 224 Трудового кодекса Российской Федерации, Администрация Комсомольского МО </w:t>
      </w:r>
      <w:r>
        <w:rPr>
          <w:b/>
          <w:sz w:val="28"/>
          <w:szCs w:val="28"/>
        </w:rPr>
        <w:t>ПОСТАНОВЛЯЕТ:</w:t>
      </w:r>
    </w:p>
    <w:p>
      <w:pPr>
        <w:pStyle w:val="style0"/>
        <w:ind w:firstLine="284" w:left="0" w:right="-2"/>
        <w:jc w:val="both"/>
      </w:pPr>
      <w:r>
        <w:rPr>
          <w:sz w:val="28"/>
          <w:szCs w:val="28"/>
        </w:rPr>
        <w:t>1. Внести изменения в  Положение о системе управления охраной труда в Администрации Комсомольского муниципального образования Краснокутского муниципального района Саратовской  области, утвержденное постановлением от 24.12.2021г. № 70:</w:t>
      </w:r>
    </w:p>
    <w:p>
      <w:pPr>
        <w:pStyle w:val="style0"/>
        <w:ind w:firstLine="284" w:left="0" w:right="0"/>
        <w:jc w:val="both"/>
      </w:pPr>
      <w:r>
        <w:rPr>
          <w:sz w:val="28"/>
          <w:szCs w:val="28"/>
        </w:rPr>
        <w:t>1.1. В тексте постановления и в пункте 1.1 Положения слова «приказом Минтруда России от 19.08.2016 № 438н «Об утверждении Типового положения о системе управления охраной труда» заменить словами «приказом Минтруда России от 22.09.2021г. № 650н «</w:t>
      </w:r>
      <w:r>
        <w:rPr>
          <w:sz w:val="28"/>
          <w:szCs w:val="28"/>
          <w:shd w:fill="FFFFFF" w:val="clear"/>
        </w:rPr>
        <w:t>Об утверждении примерного положения о комитете (комиссии) по охране труда»;</w:t>
      </w:r>
    </w:p>
    <w:p>
      <w:pPr>
        <w:pStyle w:val="style0"/>
        <w:ind w:firstLine="284" w:left="0" w:right="0"/>
        <w:jc w:val="both"/>
      </w:pPr>
      <w:r>
        <w:rPr>
          <w:sz w:val="28"/>
          <w:szCs w:val="28"/>
          <w:shd w:fill="FFFFFF" w:val="clear"/>
        </w:rPr>
        <w:t>1.2. Раздел 4 Положения «Комиссии по охране труда» дополнить пунктом 4.5. следующего содержания:</w:t>
      </w:r>
    </w:p>
    <w:p>
      <w:pPr>
        <w:pStyle w:val="style18"/>
        <w:ind w:firstLine="567" w:left="0" w:right="0"/>
        <w:jc w:val="both"/>
      </w:pPr>
      <w:r>
        <w:rPr>
          <w:sz w:val="28"/>
          <w:shd w:fill="FFFFFF" w:val="clear"/>
        </w:rPr>
        <w:t>«4.5.</w:t>
      </w:r>
      <w:r>
        <w:rPr/>
        <w:t> </w:t>
      </w:r>
      <w:r>
        <w:rPr>
          <w:sz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>
      <w:pPr>
        <w:pStyle w:val="style0"/>
        <w:ind w:hanging="0" w:left="0" w:right="0"/>
        <w:jc w:val="both"/>
      </w:pPr>
      <w:r>
        <w:rPr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>
      <w:pPr>
        <w:pStyle w:val="style24"/>
        <w:ind w:firstLine="709" w:left="0" w:right="0"/>
      </w:pPr>
      <w:r>
        <w:rPr>
          <w:rFonts w:ascii="Times New Roman" w:hAnsi="Times New Roman"/>
          <w:sz w:val="28"/>
          <w:szCs w:val="28"/>
        </w:rPr>
        <w:t>Задачами Комиссии являются: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а) разработка и дальнейшее совершенствование программы совместных действий работодателя,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б)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в)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г) 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д) 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 и (или) иных уполномоченных представительных органов работников (при наличии таких представительных органов);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е)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Функциями Комиссии являются: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а)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б) 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в)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г)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д)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е)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ж)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з)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и)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к) 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(опасными) условиями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л)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м) 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>
      <w:pPr>
        <w:pStyle w:val="style24"/>
        <w:ind w:firstLine="709" w:left="0" w:right="0"/>
        <w:jc w:val="both"/>
      </w:pPr>
      <w:r>
        <w:rPr>
          <w:rFonts w:ascii="Times New Roman" w:hAnsi="Times New Roman"/>
          <w:sz w:val="28"/>
          <w:szCs w:val="28"/>
        </w:rPr>
        <w:t>н) содействовать работодателю в рассмотрении обстоятельств, выявление причин, приводящих к микроповреждениям (микротравмам).</w:t>
      </w:r>
    </w:p>
    <w:p>
      <w:pPr>
        <w:pStyle w:val="style0"/>
        <w:ind w:firstLine="567" w:left="0" w:right="0"/>
        <w:jc w:val="both"/>
      </w:pPr>
      <w:r>
        <w:rPr>
          <w:sz w:val="28"/>
          <w:szCs w:val="28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власти.».</w:t>
      </w:r>
    </w:p>
    <w:p>
      <w:pPr>
        <w:pStyle w:val="style0"/>
        <w:ind w:hanging="0" w:left="0" w:right="-2"/>
        <w:jc w:val="both"/>
      </w:pPr>
      <w:r>
        <w:rPr>
          <w:sz w:val="28"/>
          <w:szCs w:val="28"/>
        </w:rPr>
        <w:tab/>
        <w:t>2. Настоящее постановление вступает в силу с момента обнародования.</w:t>
      </w:r>
    </w:p>
    <w:p>
      <w:pPr>
        <w:pStyle w:val="style0"/>
        <w:ind w:hanging="0" w:left="0" w:right="-2"/>
        <w:jc w:val="both"/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>
      <w:pPr>
        <w:pStyle w:val="style0"/>
        <w:ind w:hanging="0" w:left="0" w:right="-2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b/>
          <w:bCs/>
          <w:sz w:val="28"/>
          <w:szCs w:val="28"/>
        </w:rPr>
        <w:t>Глава Комсомольского</w:t>
      </w:r>
    </w:p>
    <w:p>
      <w:pPr>
        <w:pStyle w:val="style0"/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style0"/>
      </w:pPr>
      <w:r>
        <w:rPr>
          <w:b/>
          <w:bCs/>
          <w:sz w:val="28"/>
          <w:szCs w:val="28"/>
        </w:rPr>
        <w:t>Краснокутского муниципального</w:t>
      </w:r>
    </w:p>
    <w:p>
      <w:pPr>
        <w:pStyle w:val="style0"/>
      </w:pPr>
      <w:r>
        <w:rPr>
          <w:b/>
          <w:bCs/>
          <w:sz w:val="28"/>
          <w:szCs w:val="28"/>
        </w:rPr>
        <w:t xml:space="preserve">района Саратовской области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А.К. Ибраев</w:t>
      </w:r>
    </w:p>
    <w:sectPr>
      <w:type w:val="nextPage"/>
      <w:pgSz w:h="16838" w:w="11906"/>
      <w:pgMar w:bottom="851" w:footer="0" w:gutter="0" w:header="0" w:left="1134" w:right="851" w:top="851"/>
      <w:pgNumType w:fmt="decimal"/>
      <w:formProt w:val="false"/>
      <w:textDirection w:val="lrTb"/>
      <w:docGrid w:charSpace="32768" w:linePitch="6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ar-SA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Times New Roman" w:hAnsi="Tahoma"/>
      <w:sz w:val="16"/>
      <w:szCs w:val="16"/>
      <w:lang w:eastAsia="ar-SA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0" w:before="280"/>
      <w:contextualSpacing w:val="false"/>
    </w:pPr>
    <w:rPr/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25" w:type="paragraph">
    <w:name w:val="List Paragraph"/>
    <w:basedOn w:val="style0"/>
    <w:next w:val="style25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2019-05-28T07:50:00.00Z</dcterms:created>
  <dc:creator>User</dc:creator>
  <cp:lastModifiedBy>1</cp:lastModifiedBy>
  <dcterms:modified xsi:type="dcterms:W3CDTF">2024-06-18T04:17:00.00Z</dcterms:modified>
  <cp:revision>12</cp:revision>
</cp:coreProperties>
</file>