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CA" w:rsidRPr="00CD0293" w:rsidRDefault="005147CA" w:rsidP="005147CA">
      <w:pPr>
        <w:jc w:val="center"/>
        <w:rPr>
          <w:b/>
          <w:sz w:val="24"/>
          <w:szCs w:val="24"/>
        </w:rPr>
      </w:pPr>
      <w:r w:rsidRPr="00CD0293">
        <w:rPr>
          <w:b/>
          <w:sz w:val="24"/>
          <w:szCs w:val="24"/>
        </w:rPr>
        <w:t>Паспорт муниципальной программы «Переселение граждан из авари</w:t>
      </w:r>
      <w:r>
        <w:rPr>
          <w:b/>
          <w:sz w:val="24"/>
          <w:szCs w:val="24"/>
        </w:rPr>
        <w:t xml:space="preserve">йного жилищного фонда </w:t>
      </w:r>
      <w:proofErr w:type="spellStart"/>
      <w:r>
        <w:rPr>
          <w:b/>
          <w:sz w:val="24"/>
          <w:szCs w:val="24"/>
        </w:rPr>
        <w:t>Краснокутского</w:t>
      </w:r>
      <w:proofErr w:type="spellEnd"/>
      <w:r w:rsidRPr="00CD0293">
        <w:rPr>
          <w:b/>
          <w:sz w:val="24"/>
          <w:szCs w:val="24"/>
        </w:rPr>
        <w:t xml:space="preserve"> муниципального района Саратовской области»</w:t>
      </w:r>
    </w:p>
    <w:p w:rsidR="005147CA" w:rsidRPr="00CD0293" w:rsidRDefault="005147CA" w:rsidP="005147CA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371"/>
      </w:tblGrid>
      <w:tr w:rsidR="005147CA" w:rsidRPr="00CD0293" w:rsidTr="00AB61C6">
        <w:trPr>
          <w:trHeight w:val="578"/>
        </w:trPr>
        <w:tc>
          <w:tcPr>
            <w:tcW w:w="2376" w:type="dxa"/>
          </w:tcPr>
          <w:p w:rsidR="005147CA" w:rsidRPr="00CD0293" w:rsidRDefault="005147CA" w:rsidP="00AB61C6">
            <w:pPr>
              <w:rPr>
                <w:b/>
                <w:sz w:val="24"/>
                <w:szCs w:val="24"/>
              </w:rPr>
            </w:pPr>
            <w:r w:rsidRPr="00CD0293">
              <w:rPr>
                <w:b/>
                <w:sz w:val="24"/>
                <w:szCs w:val="24"/>
              </w:rPr>
              <w:t>Наименование</w:t>
            </w:r>
          </w:p>
          <w:p w:rsidR="005147CA" w:rsidRPr="00CD0293" w:rsidRDefault="005147CA" w:rsidP="00AB61C6">
            <w:pPr>
              <w:rPr>
                <w:b/>
                <w:sz w:val="24"/>
                <w:szCs w:val="24"/>
              </w:rPr>
            </w:pPr>
            <w:r w:rsidRPr="00CD0293"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</w:tcPr>
          <w:p w:rsidR="005147CA" w:rsidRPr="00CD0293" w:rsidRDefault="005147CA" w:rsidP="00AB61C6">
            <w:pPr>
              <w:jc w:val="both"/>
              <w:rPr>
                <w:sz w:val="24"/>
                <w:szCs w:val="24"/>
              </w:rPr>
            </w:pPr>
            <w:r w:rsidRPr="00CD0293">
              <w:rPr>
                <w:sz w:val="24"/>
                <w:szCs w:val="24"/>
              </w:rPr>
              <w:t>муниципальная программа «Переселение граждан из а</w:t>
            </w:r>
            <w:r>
              <w:rPr>
                <w:sz w:val="24"/>
                <w:szCs w:val="24"/>
              </w:rPr>
              <w:t xml:space="preserve">варийного жилищного фонда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 w:rsidRPr="00CD0293">
              <w:rPr>
                <w:sz w:val="24"/>
                <w:szCs w:val="24"/>
              </w:rPr>
              <w:t xml:space="preserve"> муниципального района» (далее – Программа).</w:t>
            </w:r>
          </w:p>
        </w:tc>
      </w:tr>
      <w:tr w:rsidR="005147CA" w:rsidRPr="00CD0293" w:rsidTr="00AB61C6">
        <w:trPr>
          <w:trHeight w:val="578"/>
        </w:trPr>
        <w:tc>
          <w:tcPr>
            <w:tcW w:w="2376" w:type="dxa"/>
          </w:tcPr>
          <w:p w:rsidR="005147CA" w:rsidRPr="00CD0293" w:rsidRDefault="005147CA" w:rsidP="00AB61C6">
            <w:pPr>
              <w:rPr>
                <w:sz w:val="24"/>
                <w:szCs w:val="24"/>
              </w:rPr>
            </w:pPr>
            <w:r w:rsidRPr="00CD0293">
              <w:rPr>
                <w:b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371" w:type="dxa"/>
          </w:tcPr>
          <w:p w:rsidR="005147CA" w:rsidRPr="00CD0293" w:rsidRDefault="005147CA" w:rsidP="005147CA">
            <w:pPr>
              <w:widowControl w:val="0"/>
              <w:numPr>
                <w:ilvl w:val="0"/>
                <w:numId w:val="1"/>
              </w:numPr>
              <w:ind w:left="0" w:firstLine="317"/>
              <w:jc w:val="both"/>
              <w:rPr>
                <w:sz w:val="24"/>
                <w:szCs w:val="24"/>
              </w:rPr>
            </w:pPr>
            <w:r w:rsidRPr="00CD0293">
              <w:rPr>
                <w:sz w:val="24"/>
                <w:szCs w:val="24"/>
              </w:rPr>
              <w:t>обеспечение жилыми помещениями граждан, проживающих в домах, признанных в установленном порядке аварийными и подлежащими сносу или реконструкции в связи с физическим износом в процессе их эксплуатации с 01.01.2017 до 01.01.2022;</w:t>
            </w:r>
          </w:p>
          <w:p w:rsidR="005147CA" w:rsidRPr="00CD0293" w:rsidRDefault="005147CA" w:rsidP="005147CA">
            <w:pPr>
              <w:widowControl w:val="0"/>
              <w:numPr>
                <w:ilvl w:val="0"/>
                <w:numId w:val="1"/>
              </w:numPr>
              <w:ind w:left="0" w:firstLine="317"/>
              <w:jc w:val="both"/>
              <w:rPr>
                <w:sz w:val="24"/>
                <w:szCs w:val="24"/>
              </w:rPr>
            </w:pPr>
            <w:r w:rsidRPr="00CD0293">
              <w:rPr>
                <w:sz w:val="24"/>
                <w:szCs w:val="24"/>
              </w:rPr>
              <w:t>обеспечение сокращения аварийного жилого фонда;</w:t>
            </w:r>
          </w:p>
          <w:p w:rsidR="005147CA" w:rsidRPr="00CD0293" w:rsidRDefault="005147CA" w:rsidP="005147C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317"/>
              <w:jc w:val="both"/>
              <w:textAlignment w:val="auto"/>
              <w:rPr>
                <w:sz w:val="24"/>
                <w:szCs w:val="24"/>
              </w:rPr>
            </w:pPr>
            <w:r w:rsidRPr="00CD0293">
              <w:rPr>
                <w:color w:val="000000"/>
                <w:sz w:val="24"/>
                <w:szCs w:val="24"/>
              </w:rPr>
              <w:t>регулирование отношений между Фондом содействия реформированию жилищно-коммунального хозяйства (далее - Фонд), уполномоченным исполнительным органом области и органами местного самоуправления;</w:t>
            </w:r>
          </w:p>
          <w:p w:rsidR="005147CA" w:rsidRPr="00CD0293" w:rsidRDefault="005147CA" w:rsidP="005147C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317"/>
              <w:jc w:val="both"/>
              <w:textAlignment w:val="auto"/>
              <w:rPr>
                <w:sz w:val="24"/>
                <w:szCs w:val="24"/>
              </w:rPr>
            </w:pPr>
            <w:r w:rsidRPr="00CD0293">
              <w:rPr>
                <w:color w:val="000000"/>
                <w:sz w:val="24"/>
                <w:szCs w:val="24"/>
              </w:rPr>
              <w:t>реализация предусмотренных Федеральным законом мероприятий по переселению граждан из многоквартирных домов, признанных в период с 01.01.2017 до 01.01.2022 в установленном порядке аварийными и подлежащими сносу или реконструкции в связи с физическим износом в процессе их эксплуатации.</w:t>
            </w:r>
          </w:p>
        </w:tc>
      </w:tr>
      <w:tr w:rsidR="005147CA" w:rsidRPr="00CD0293" w:rsidTr="00AB61C6">
        <w:tc>
          <w:tcPr>
            <w:tcW w:w="2376" w:type="dxa"/>
          </w:tcPr>
          <w:p w:rsidR="005147CA" w:rsidRPr="00CD0293" w:rsidRDefault="005147CA" w:rsidP="00AB61C6">
            <w:pPr>
              <w:rPr>
                <w:b/>
                <w:sz w:val="24"/>
                <w:szCs w:val="24"/>
              </w:rPr>
            </w:pPr>
            <w:r w:rsidRPr="00CD0293">
              <w:rPr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71" w:type="dxa"/>
          </w:tcPr>
          <w:p w:rsidR="005147CA" w:rsidRPr="00CD0293" w:rsidRDefault="005147CA" w:rsidP="005147CA">
            <w:pPr>
              <w:numPr>
                <w:ilvl w:val="0"/>
                <w:numId w:val="2"/>
              </w:numPr>
              <w:ind w:left="0" w:firstLine="317"/>
              <w:jc w:val="both"/>
              <w:rPr>
                <w:sz w:val="24"/>
                <w:szCs w:val="24"/>
              </w:rPr>
            </w:pPr>
            <w:r w:rsidRPr="00CD0293">
              <w:rPr>
                <w:sz w:val="24"/>
                <w:szCs w:val="24"/>
              </w:rPr>
              <w:t>создание безопасных и благоприятных условий проживания граждан;</w:t>
            </w:r>
          </w:p>
          <w:p w:rsidR="005147CA" w:rsidRPr="00CD0293" w:rsidRDefault="005147CA" w:rsidP="005147CA">
            <w:pPr>
              <w:numPr>
                <w:ilvl w:val="0"/>
                <w:numId w:val="2"/>
              </w:numPr>
              <w:ind w:left="0" w:firstLine="317"/>
              <w:jc w:val="both"/>
              <w:rPr>
                <w:color w:val="000000"/>
                <w:sz w:val="24"/>
                <w:szCs w:val="24"/>
              </w:rPr>
            </w:pPr>
            <w:r w:rsidRPr="00CD0293">
              <w:rPr>
                <w:color w:val="000000"/>
                <w:sz w:val="24"/>
                <w:szCs w:val="24"/>
              </w:rPr>
              <w:t>переселение граждан из аварийного жилищного фонда в соответствии с жилищным законодательством;</w:t>
            </w:r>
          </w:p>
          <w:p w:rsidR="005147CA" w:rsidRPr="00CD0293" w:rsidRDefault="005147CA" w:rsidP="005147CA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0" w:firstLine="317"/>
              <w:jc w:val="both"/>
              <w:textAlignment w:val="auto"/>
              <w:rPr>
                <w:sz w:val="24"/>
                <w:szCs w:val="24"/>
              </w:rPr>
            </w:pPr>
            <w:r w:rsidRPr="00CD0293">
              <w:rPr>
                <w:color w:val="000000"/>
                <w:sz w:val="24"/>
                <w:szCs w:val="24"/>
              </w:rPr>
              <w:t>установление правовых и организационных основ предоставления финансовой поддержки муниципальным образованиям на переселение граждан из аварийного жилищного фонда путем привлечения бюджетных и внебюджетных финансовых ресурсов.</w:t>
            </w:r>
          </w:p>
        </w:tc>
      </w:tr>
      <w:tr w:rsidR="005147CA" w:rsidRPr="00CD0293" w:rsidTr="00AB61C6">
        <w:tc>
          <w:tcPr>
            <w:tcW w:w="2376" w:type="dxa"/>
          </w:tcPr>
          <w:p w:rsidR="005147CA" w:rsidRPr="00CD0293" w:rsidRDefault="005147CA" w:rsidP="00AB61C6">
            <w:pPr>
              <w:rPr>
                <w:b/>
                <w:sz w:val="24"/>
                <w:szCs w:val="24"/>
              </w:rPr>
            </w:pPr>
            <w:r w:rsidRPr="00CD0293">
              <w:rPr>
                <w:b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7371" w:type="dxa"/>
          </w:tcPr>
          <w:p w:rsidR="005147CA" w:rsidRPr="00CD0293" w:rsidRDefault="005147CA" w:rsidP="00AB61C6">
            <w:pPr>
              <w:jc w:val="both"/>
              <w:rPr>
                <w:sz w:val="24"/>
                <w:szCs w:val="24"/>
              </w:rPr>
            </w:pPr>
            <w:r w:rsidRPr="00CD0293">
              <w:rPr>
                <w:sz w:val="24"/>
                <w:szCs w:val="24"/>
              </w:rPr>
              <w:t>2022-2026 годы, в том числе:</w:t>
            </w:r>
          </w:p>
          <w:p w:rsidR="005147CA" w:rsidRPr="00CD0293" w:rsidRDefault="005147CA" w:rsidP="00AB61C6">
            <w:pPr>
              <w:jc w:val="both"/>
              <w:rPr>
                <w:sz w:val="24"/>
                <w:szCs w:val="24"/>
              </w:rPr>
            </w:pPr>
            <w:r w:rsidRPr="00CD0293">
              <w:rPr>
                <w:sz w:val="24"/>
                <w:szCs w:val="24"/>
              </w:rPr>
              <w:t>2022-2023 годы (первый этап);</w:t>
            </w:r>
          </w:p>
          <w:p w:rsidR="005147CA" w:rsidRPr="00CD0293" w:rsidRDefault="005147CA" w:rsidP="00AB61C6">
            <w:pPr>
              <w:jc w:val="both"/>
              <w:rPr>
                <w:sz w:val="24"/>
                <w:szCs w:val="24"/>
              </w:rPr>
            </w:pPr>
          </w:p>
        </w:tc>
      </w:tr>
      <w:tr w:rsidR="005147CA" w:rsidRPr="00CD0293" w:rsidTr="00AB61C6">
        <w:tc>
          <w:tcPr>
            <w:tcW w:w="2376" w:type="dxa"/>
          </w:tcPr>
          <w:p w:rsidR="005147CA" w:rsidRPr="00CD0293" w:rsidRDefault="005147CA" w:rsidP="00AB61C6">
            <w:pPr>
              <w:rPr>
                <w:b/>
                <w:sz w:val="24"/>
                <w:szCs w:val="24"/>
              </w:rPr>
            </w:pPr>
            <w:r w:rsidRPr="00CD0293">
              <w:rPr>
                <w:b/>
                <w:sz w:val="24"/>
                <w:szCs w:val="24"/>
              </w:rPr>
              <w:t>Перечень подпрограмм</w:t>
            </w:r>
          </w:p>
        </w:tc>
        <w:tc>
          <w:tcPr>
            <w:tcW w:w="7371" w:type="dxa"/>
          </w:tcPr>
          <w:p w:rsidR="005147CA" w:rsidRPr="00CD0293" w:rsidRDefault="005147CA" w:rsidP="00AB61C6">
            <w:pPr>
              <w:pStyle w:val="ConsPlusCell"/>
              <w:jc w:val="both"/>
            </w:pPr>
            <w:r w:rsidRPr="00CD0293">
              <w:t>нет</w:t>
            </w:r>
          </w:p>
        </w:tc>
      </w:tr>
      <w:tr w:rsidR="005147CA" w:rsidRPr="00CD0293" w:rsidTr="00AB61C6">
        <w:tc>
          <w:tcPr>
            <w:tcW w:w="2376" w:type="dxa"/>
          </w:tcPr>
          <w:p w:rsidR="005147CA" w:rsidRPr="00CD0293" w:rsidRDefault="005147CA" w:rsidP="00AB61C6">
            <w:pPr>
              <w:rPr>
                <w:b/>
                <w:sz w:val="24"/>
                <w:szCs w:val="24"/>
              </w:rPr>
            </w:pPr>
            <w:r w:rsidRPr="00CD0293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371" w:type="dxa"/>
          </w:tcPr>
          <w:p w:rsidR="005147CA" w:rsidRPr="00CD0293" w:rsidRDefault="005147CA" w:rsidP="00AB61C6">
            <w:pPr>
              <w:pStyle w:val="ConsPlusCell"/>
              <w:jc w:val="both"/>
            </w:pPr>
            <w:r>
              <w:t xml:space="preserve">Отдел архитектуры и строительства управления архитектуры, строительства и ЖКХ администрации </w:t>
            </w:r>
            <w:proofErr w:type="spellStart"/>
            <w:r>
              <w:t>Краснокутского</w:t>
            </w:r>
            <w:proofErr w:type="spellEnd"/>
            <w:r>
              <w:t xml:space="preserve"> муниципального района</w:t>
            </w:r>
          </w:p>
        </w:tc>
      </w:tr>
      <w:tr w:rsidR="005147CA" w:rsidRPr="00CD0293" w:rsidTr="00AB61C6">
        <w:tc>
          <w:tcPr>
            <w:tcW w:w="2376" w:type="dxa"/>
          </w:tcPr>
          <w:p w:rsidR="005147CA" w:rsidRPr="00CD0293" w:rsidRDefault="005147CA" w:rsidP="00AB61C6">
            <w:pPr>
              <w:rPr>
                <w:b/>
                <w:sz w:val="24"/>
                <w:szCs w:val="24"/>
              </w:rPr>
            </w:pPr>
            <w:r w:rsidRPr="00CD0293">
              <w:rPr>
                <w:b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371" w:type="dxa"/>
          </w:tcPr>
          <w:p w:rsidR="005147CA" w:rsidRPr="00CD0293" w:rsidRDefault="005147CA" w:rsidP="00AB61C6">
            <w:pPr>
              <w:pStyle w:val="ConsPlusCell"/>
              <w:jc w:val="both"/>
            </w:pPr>
            <w:r w:rsidRPr="00CD0293">
              <w:t>нет</w:t>
            </w:r>
          </w:p>
          <w:p w:rsidR="005147CA" w:rsidRPr="00CD0293" w:rsidRDefault="005147CA" w:rsidP="00AB61C6">
            <w:pPr>
              <w:pStyle w:val="ConsPlusCell"/>
              <w:jc w:val="both"/>
            </w:pPr>
          </w:p>
        </w:tc>
      </w:tr>
      <w:tr w:rsidR="005147CA" w:rsidRPr="00CD0293" w:rsidTr="00AB61C6">
        <w:tc>
          <w:tcPr>
            <w:tcW w:w="2376" w:type="dxa"/>
          </w:tcPr>
          <w:p w:rsidR="005147CA" w:rsidRPr="00CD0293" w:rsidRDefault="005147CA" w:rsidP="00AB61C6">
            <w:pPr>
              <w:rPr>
                <w:b/>
                <w:sz w:val="24"/>
                <w:szCs w:val="24"/>
                <w:highlight w:val="yellow"/>
              </w:rPr>
            </w:pPr>
            <w:r w:rsidRPr="00CD0293">
              <w:rPr>
                <w:b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371" w:type="dxa"/>
          </w:tcPr>
          <w:p w:rsidR="005147CA" w:rsidRPr="00CD0293" w:rsidRDefault="005147CA" w:rsidP="00AB61C6">
            <w:pPr>
              <w:pStyle w:val="ConsPlusCell"/>
              <w:jc w:val="both"/>
            </w:pPr>
            <w:r w:rsidRPr="00CD0293">
              <w:t>Общий объем финансирования (тыс</w:t>
            </w:r>
            <w:proofErr w:type="gramStart"/>
            <w:r w:rsidRPr="00CD0293">
              <w:t>.р</w:t>
            </w:r>
            <w:proofErr w:type="gramEnd"/>
            <w:r w:rsidRPr="00CD0293">
              <w:t xml:space="preserve">уб.) </w:t>
            </w:r>
            <w:r>
              <w:rPr>
                <w:rFonts w:ascii="PT Astra Serif" w:hAnsi="PT Astra Serif"/>
                <w:color w:val="000000"/>
              </w:rPr>
              <w:t xml:space="preserve">18 904 830,31 </w:t>
            </w:r>
            <w:r w:rsidRPr="00CD0293">
              <w:t xml:space="preserve">рублей, в том числе: местный бюджет – 0,0; </w:t>
            </w:r>
            <w:r>
              <w:t>областной бюджет (</w:t>
            </w:r>
            <w:proofErr w:type="spellStart"/>
            <w:r>
              <w:t>прогнозно</w:t>
            </w:r>
            <w:proofErr w:type="spellEnd"/>
            <w:r>
              <w:t>) – 10 847 614,04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CD0293">
              <w:t>руб. средства Фонда (</w:t>
            </w:r>
            <w:proofErr w:type="spellStart"/>
            <w:r w:rsidRPr="00CD0293">
              <w:t>прогнозно</w:t>
            </w:r>
            <w:proofErr w:type="spellEnd"/>
            <w:r w:rsidRPr="00CD0293">
              <w:t xml:space="preserve">) – </w:t>
            </w:r>
            <w:r>
              <w:rPr>
                <w:rFonts w:ascii="PT Astra Serif" w:hAnsi="PT Astra Serif"/>
                <w:color w:val="000000"/>
              </w:rPr>
              <w:t xml:space="preserve">8 057 216,27 </w:t>
            </w:r>
            <w:r w:rsidRPr="00CD0293">
              <w:t>руб.; внебюджетные средства (</w:t>
            </w:r>
            <w:proofErr w:type="spellStart"/>
            <w:r w:rsidRPr="00CD0293">
              <w:t>прогнозно</w:t>
            </w:r>
            <w:proofErr w:type="spellEnd"/>
            <w:r w:rsidRPr="00CD0293">
              <w:t>)  - 0,0.</w:t>
            </w:r>
          </w:p>
          <w:p w:rsidR="005147CA" w:rsidRPr="00CD0293" w:rsidRDefault="005147CA" w:rsidP="00AB61C6">
            <w:pPr>
              <w:pStyle w:val="ConsPlusCell"/>
              <w:jc w:val="both"/>
            </w:pPr>
            <w:r w:rsidRPr="00CD0293">
              <w:rPr>
                <w:i/>
              </w:rPr>
              <w:t xml:space="preserve">В 2022 году –  </w:t>
            </w:r>
            <w:r>
              <w:rPr>
                <w:i/>
              </w:rPr>
              <w:t xml:space="preserve">16 956 846,13 </w:t>
            </w:r>
            <w:r w:rsidRPr="00CD0293">
              <w:rPr>
                <w:i/>
              </w:rPr>
              <w:t>рублей, в том числе:</w:t>
            </w:r>
            <w:r w:rsidRPr="00CD0293">
              <w:t xml:space="preserve"> местный бюджет – 0,0; областной бюджет (</w:t>
            </w:r>
            <w:proofErr w:type="spellStart"/>
            <w:r w:rsidRPr="00CD0293">
              <w:t>прогнозно</w:t>
            </w:r>
            <w:proofErr w:type="spellEnd"/>
            <w:r w:rsidRPr="00CD0293">
              <w:t xml:space="preserve">) – </w:t>
            </w:r>
            <w:r>
              <w:rPr>
                <w:rFonts w:ascii="PT Astra Serif" w:hAnsi="PT Astra Serif"/>
              </w:rPr>
              <w:t>9 882 137,19</w:t>
            </w:r>
            <w:r w:rsidRPr="00CD0293">
              <w:t xml:space="preserve"> руб., средства Фонда бюджет (</w:t>
            </w:r>
            <w:proofErr w:type="spellStart"/>
            <w:r w:rsidRPr="00CD0293">
              <w:t>прогнозно</w:t>
            </w:r>
            <w:proofErr w:type="spellEnd"/>
            <w:r w:rsidRPr="00CD0293">
              <w:t>) –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7 074 708,94 </w:t>
            </w:r>
            <w:r w:rsidRPr="00CD0293">
              <w:t>руб.; внебюджетные средства (</w:t>
            </w:r>
            <w:proofErr w:type="spellStart"/>
            <w:r w:rsidRPr="00CD0293">
              <w:t>прогнозно</w:t>
            </w:r>
            <w:proofErr w:type="spellEnd"/>
            <w:r w:rsidRPr="00CD0293">
              <w:t>)  - 0,0.</w:t>
            </w:r>
          </w:p>
          <w:p w:rsidR="005147CA" w:rsidRPr="00CD0293" w:rsidRDefault="005147CA" w:rsidP="00AB61C6">
            <w:pPr>
              <w:pStyle w:val="ConsPlusCell"/>
              <w:jc w:val="both"/>
              <w:rPr>
                <w:i/>
              </w:rPr>
            </w:pPr>
            <w:r w:rsidRPr="00CD0293">
              <w:rPr>
                <w:i/>
              </w:rPr>
              <w:t>В 2023 году –</w:t>
            </w:r>
            <w:r>
              <w:rPr>
                <w:color w:val="000000"/>
              </w:rPr>
              <w:t xml:space="preserve"> </w:t>
            </w:r>
            <w:r w:rsidRPr="00D34160">
              <w:rPr>
                <w:i/>
                <w:color w:val="000000"/>
              </w:rPr>
              <w:t>1 947 984,18 рублей</w:t>
            </w:r>
            <w:r w:rsidRPr="00CD0293">
              <w:rPr>
                <w:i/>
              </w:rPr>
              <w:t xml:space="preserve">, в том числе: </w:t>
            </w:r>
            <w:r w:rsidRPr="00CD0293">
              <w:t>местный бюджет – 0,0;</w:t>
            </w:r>
            <w:r w:rsidRPr="00CD0293">
              <w:rPr>
                <w:i/>
              </w:rPr>
              <w:t xml:space="preserve"> </w:t>
            </w:r>
            <w:r w:rsidRPr="00CD0293">
              <w:t>областной бюджет (</w:t>
            </w:r>
            <w:proofErr w:type="spellStart"/>
            <w:r w:rsidRPr="00CD0293">
              <w:t>прогнозно</w:t>
            </w:r>
            <w:proofErr w:type="spellEnd"/>
            <w:r w:rsidRPr="00CD0293">
              <w:t xml:space="preserve">) – </w:t>
            </w:r>
            <w:r>
              <w:rPr>
                <w:rFonts w:ascii="PT Astra Serif" w:hAnsi="PT Astra Serif"/>
              </w:rPr>
              <w:t>965 476,85 руб.</w:t>
            </w:r>
            <w:r w:rsidRPr="00CD0293">
              <w:t>;</w:t>
            </w:r>
            <w:r w:rsidRPr="00CD0293">
              <w:rPr>
                <w:i/>
              </w:rPr>
              <w:t xml:space="preserve"> </w:t>
            </w:r>
            <w:r w:rsidRPr="00CD0293">
              <w:t>средства Фонда (</w:t>
            </w:r>
            <w:proofErr w:type="spellStart"/>
            <w:r w:rsidRPr="00CD0293">
              <w:t>прогнозно</w:t>
            </w:r>
            <w:proofErr w:type="spellEnd"/>
            <w:r w:rsidRPr="00CD0293">
              <w:t xml:space="preserve">) – </w:t>
            </w:r>
            <w:r w:rsidRPr="00D34160">
              <w:rPr>
                <w:rFonts w:ascii="PT Astra Serif" w:hAnsi="PT Astra Serif"/>
              </w:rPr>
              <w:t>982</w:t>
            </w:r>
            <w:r>
              <w:rPr>
                <w:rFonts w:ascii="PT Astra Serif" w:hAnsi="PT Astra Serif"/>
              </w:rPr>
              <w:t xml:space="preserve"> </w:t>
            </w:r>
            <w:r w:rsidRPr="00D34160">
              <w:rPr>
                <w:rFonts w:ascii="PT Astra Serif" w:hAnsi="PT Astra Serif"/>
              </w:rPr>
              <w:t>507,33</w:t>
            </w:r>
            <w:r>
              <w:rPr>
                <w:rFonts w:ascii="PT Astra Serif" w:hAnsi="PT Astra Serif"/>
              </w:rPr>
              <w:t xml:space="preserve"> руб.</w:t>
            </w:r>
            <w:r w:rsidRPr="00CD0293">
              <w:t>;</w:t>
            </w:r>
            <w:r w:rsidRPr="00CD0293">
              <w:rPr>
                <w:i/>
              </w:rPr>
              <w:t xml:space="preserve"> </w:t>
            </w:r>
            <w:r w:rsidRPr="00CD0293">
              <w:t>внебюджетные средства (</w:t>
            </w:r>
            <w:proofErr w:type="spellStart"/>
            <w:r w:rsidRPr="00CD0293">
              <w:t>прогнозно</w:t>
            </w:r>
            <w:proofErr w:type="spellEnd"/>
            <w:r w:rsidRPr="00CD0293">
              <w:t>) – 0.</w:t>
            </w:r>
          </w:p>
          <w:p w:rsidR="005147CA" w:rsidRPr="00CD0293" w:rsidRDefault="005147CA" w:rsidP="00AB61C6">
            <w:pPr>
              <w:pStyle w:val="ConsPlusCell"/>
              <w:jc w:val="both"/>
            </w:pPr>
            <w:r w:rsidRPr="00CD0293">
              <w:rPr>
                <w:i/>
              </w:rPr>
              <w:lastRenderedPageBreak/>
              <w:t xml:space="preserve">В 2024 году – 0,0, в том числе: </w:t>
            </w:r>
            <w:r w:rsidRPr="00CD0293">
              <w:t>местный бюджет – 0,0; областной бюджет (</w:t>
            </w:r>
            <w:proofErr w:type="spellStart"/>
            <w:r w:rsidRPr="00CD0293">
              <w:t>прогнозно</w:t>
            </w:r>
            <w:proofErr w:type="spellEnd"/>
            <w:r w:rsidRPr="00CD0293">
              <w:t>) – 0,0; средства Фонда (</w:t>
            </w:r>
            <w:proofErr w:type="spellStart"/>
            <w:r w:rsidRPr="00CD0293">
              <w:t>прогнозно</w:t>
            </w:r>
            <w:proofErr w:type="spellEnd"/>
            <w:r w:rsidRPr="00CD0293">
              <w:t xml:space="preserve">) – </w:t>
            </w:r>
            <w:r w:rsidRPr="00CD0293">
              <w:rPr>
                <w:color w:val="000000"/>
              </w:rPr>
              <w:t>0,0</w:t>
            </w:r>
            <w:r w:rsidRPr="00CD0293">
              <w:t>; внебюджетные средства (</w:t>
            </w:r>
            <w:proofErr w:type="spellStart"/>
            <w:r w:rsidRPr="00CD0293">
              <w:t>прогнозно</w:t>
            </w:r>
            <w:proofErr w:type="spellEnd"/>
            <w:r w:rsidRPr="00CD0293">
              <w:t>) – 0,0.</w:t>
            </w:r>
          </w:p>
          <w:p w:rsidR="005147CA" w:rsidRPr="00CD0293" w:rsidRDefault="005147CA" w:rsidP="00AB61C6">
            <w:pPr>
              <w:pStyle w:val="ConsPlusCell"/>
              <w:jc w:val="both"/>
              <w:rPr>
                <w:i/>
              </w:rPr>
            </w:pPr>
            <w:r w:rsidRPr="00CD0293">
              <w:rPr>
                <w:i/>
              </w:rPr>
              <w:t xml:space="preserve">В 2025 году –0,0, в том числе: </w:t>
            </w:r>
            <w:r w:rsidRPr="00CD0293">
              <w:t>местный бюджет – 0,0;</w:t>
            </w:r>
            <w:r w:rsidRPr="00CD0293">
              <w:rPr>
                <w:i/>
              </w:rPr>
              <w:t xml:space="preserve"> </w:t>
            </w:r>
            <w:r w:rsidRPr="00CD0293">
              <w:t>областной бюджет (</w:t>
            </w:r>
            <w:proofErr w:type="spellStart"/>
            <w:r w:rsidRPr="00CD0293">
              <w:t>прогнозно</w:t>
            </w:r>
            <w:proofErr w:type="spellEnd"/>
            <w:r w:rsidRPr="00CD0293">
              <w:t>) – 0,0;</w:t>
            </w:r>
            <w:r w:rsidRPr="00CD0293">
              <w:rPr>
                <w:i/>
              </w:rPr>
              <w:t xml:space="preserve"> </w:t>
            </w:r>
            <w:r w:rsidRPr="00CD0293">
              <w:t>средства Фонда (</w:t>
            </w:r>
            <w:proofErr w:type="spellStart"/>
            <w:r w:rsidRPr="00CD0293">
              <w:t>прогнозно</w:t>
            </w:r>
            <w:proofErr w:type="spellEnd"/>
            <w:r w:rsidRPr="00CD0293">
              <w:t>) – 0,0;</w:t>
            </w:r>
            <w:r w:rsidRPr="00CD0293">
              <w:rPr>
                <w:i/>
              </w:rPr>
              <w:t xml:space="preserve"> </w:t>
            </w:r>
            <w:r w:rsidRPr="00CD0293">
              <w:t>внебюджетные средства (</w:t>
            </w:r>
            <w:proofErr w:type="spellStart"/>
            <w:r w:rsidRPr="00CD0293">
              <w:t>прогнозно</w:t>
            </w:r>
            <w:proofErr w:type="spellEnd"/>
            <w:r w:rsidRPr="00CD0293">
              <w:t>) – 0,0.</w:t>
            </w:r>
          </w:p>
          <w:p w:rsidR="005147CA" w:rsidRPr="00CD0293" w:rsidRDefault="005147CA" w:rsidP="00AB61C6">
            <w:pPr>
              <w:pStyle w:val="ConsPlusCell"/>
              <w:jc w:val="both"/>
            </w:pPr>
            <w:r w:rsidRPr="00CD0293">
              <w:rPr>
                <w:i/>
              </w:rPr>
              <w:t xml:space="preserve">В 2026 году - 0,0, в том числе: </w:t>
            </w:r>
            <w:r w:rsidRPr="00CD0293">
              <w:t>местный бюджет  – 0,0; областной бюджет (</w:t>
            </w:r>
            <w:proofErr w:type="spellStart"/>
            <w:r w:rsidRPr="00CD0293">
              <w:t>прогнозно</w:t>
            </w:r>
            <w:proofErr w:type="spellEnd"/>
            <w:r w:rsidRPr="00CD0293">
              <w:t>) – 0,0; средства Фонда (</w:t>
            </w:r>
            <w:proofErr w:type="spellStart"/>
            <w:r w:rsidRPr="00CD0293">
              <w:t>прогнозно</w:t>
            </w:r>
            <w:proofErr w:type="spellEnd"/>
            <w:r w:rsidRPr="00CD0293">
              <w:t>) – 0,0; внебюджетные средства (</w:t>
            </w:r>
            <w:proofErr w:type="spellStart"/>
            <w:r w:rsidRPr="00CD0293">
              <w:t>прогнозно</w:t>
            </w:r>
            <w:proofErr w:type="spellEnd"/>
            <w:r w:rsidRPr="00CD0293">
              <w:t xml:space="preserve">) – 0,0. </w:t>
            </w:r>
          </w:p>
        </w:tc>
      </w:tr>
      <w:tr w:rsidR="005147CA" w:rsidRPr="00CD0293" w:rsidTr="00AB61C6">
        <w:tc>
          <w:tcPr>
            <w:tcW w:w="2376" w:type="dxa"/>
          </w:tcPr>
          <w:p w:rsidR="005147CA" w:rsidRPr="00CD0293" w:rsidRDefault="005147CA" w:rsidP="00AB61C6">
            <w:pPr>
              <w:rPr>
                <w:b/>
                <w:sz w:val="24"/>
                <w:szCs w:val="24"/>
              </w:rPr>
            </w:pPr>
            <w:r w:rsidRPr="00CD0293">
              <w:rPr>
                <w:b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371" w:type="dxa"/>
          </w:tcPr>
          <w:p w:rsidR="005147CA" w:rsidRPr="00CD0293" w:rsidRDefault="005147CA" w:rsidP="005147CA">
            <w:pPr>
              <w:numPr>
                <w:ilvl w:val="0"/>
                <w:numId w:val="3"/>
              </w:numPr>
              <w:tabs>
                <w:tab w:val="left" w:pos="601"/>
              </w:tabs>
              <w:ind w:left="34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жилищных условий 34</w:t>
            </w:r>
            <w:r w:rsidRPr="00CD02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граждан, проживающих в аварийном многоквартирном доме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 w:rsidRPr="00CD0293">
              <w:rPr>
                <w:sz w:val="24"/>
                <w:szCs w:val="24"/>
              </w:rPr>
              <w:t xml:space="preserve"> муниципального района;</w:t>
            </w:r>
          </w:p>
          <w:p w:rsidR="005147CA" w:rsidRPr="00CD0293" w:rsidRDefault="005147CA" w:rsidP="005147CA">
            <w:pPr>
              <w:numPr>
                <w:ilvl w:val="0"/>
                <w:numId w:val="3"/>
              </w:numPr>
              <w:tabs>
                <w:tab w:val="left" w:pos="601"/>
              </w:tabs>
              <w:ind w:left="34" w:firstLine="283"/>
              <w:jc w:val="both"/>
              <w:rPr>
                <w:sz w:val="24"/>
                <w:szCs w:val="24"/>
              </w:rPr>
            </w:pPr>
            <w:r w:rsidRPr="00CD0293">
              <w:rPr>
                <w:sz w:val="24"/>
                <w:szCs w:val="24"/>
              </w:rPr>
              <w:t>ликвидация аварийного жилищного фонда, признанного таковым после 01.01.2017.</w:t>
            </w:r>
          </w:p>
        </w:tc>
      </w:tr>
      <w:tr w:rsidR="005147CA" w:rsidRPr="00CD0293" w:rsidTr="00AB61C6">
        <w:tc>
          <w:tcPr>
            <w:tcW w:w="2376" w:type="dxa"/>
          </w:tcPr>
          <w:p w:rsidR="005147CA" w:rsidRPr="00CD0293" w:rsidRDefault="005147CA" w:rsidP="00AB61C6">
            <w:pPr>
              <w:rPr>
                <w:b/>
                <w:sz w:val="24"/>
                <w:szCs w:val="24"/>
              </w:rPr>
            </w:pPr>
            <w:r w:rsidRPr="00CD0293">
              <w:rPr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Pr="00CD0293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CD0293">
              <w:rPr>
                <w:b/>
                <w:sz w:val="24"/>
                <w:szCs w:val="24"/>
              </w:rPr>
              <w:t xml:space="preserve"> исполнением муниципальной программы</w:t>
            </w:r>
          </w:p>
        </w:tc>
        <w:tc>
          <w:tcPr>
            <w:tcW w:w="7371" w:type="dxa"/>
          </w:tcPr>
          <w:p w:rsidR="005147CA" w:rsidRPr="00CD0293" w:rsidRDefault="005147CA" w:rsidP="00AB61C6">
            <w:pPr>
              <w:pStyle w:val="ConsPlusCell"/>
              <w:jc w:val="both"/>
            </w:pPr>
            <w:r w:rsidRPr="00CD0293">
              <w:rPr>
                <w:color w:val="000000"/>
              </w:rPr>
              <w:t>Заказчик Программы с учетом выделяемых на ее реализацию финансовых средств уточняет целевые показатели и затраты по программным мероприят</w:t>
            </w:r>
            <w:r>
              <w:rPr>
                <w:color w:val="000000"/>
              </w:rPr>
              <w:t xml:space="preserve">иям, состав исполнителей. Управление архитектуры, строительства и ЖКХ администрации </w:t>
            </w:r>
            <w:proofErr w:type="spellStart"/>
            <w:r>
              <w:rPr>
                <w:color w:val="000000"/>
              </w:rPr>
              <w:t>Краснокутского</w:t>
            </w:r>
            <w:proofErr w:type="spellEnd"/>
            <w:r w:rsidRPr="00CD0293">
              <w:rPr>
                <w:color w:val="000000"/>
              </w:rPr>
              <w:t xml:space="preserve"> муниципального района с участием заинтересованных органов организует проверку хода реализации Программы (целевое, эффективное использование средств, сроки реализации программных мероприятий, конечные результаты Программы).</w:t>
            </w:r>
          </w:p>
        </w:tc>
      </w:tr>
    </w:tbl>
    <w:p w:rsidR="008A3D33" w:rsidRDefault="008A3D33"/>
    <w:sectPr w:rsidR="008A3D33" w:rsidSect="008A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4EC9"/>
    <w:multiLevelType w:val="hybridMultilevel"/>
    <w:tmpl w:val="6ECAC782"/>
    <w:lvl w:ilvl="0" w:tplc="BBCE87D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A460F"/>
    <w:multiLevelType w:val="hybridMultilevel"/>
    <w:tmpl w:val="C9DCBAE8"/>
    <w:lvl w:ilvl="0" w:tplc="BBCE87D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00DDB"/>
    <w:multiLevelType w:val="hybridMultilevel"/>
    <w:tmpl w:val="697E6DF8"/>
    <w:lvl w:ilvl="0" w:tplc="BBCE87D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CA"/>
    <w:rsid w:val="005147CA"/>
    <w:rsid w:val="008A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14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Бегинина</dc:creator>
  <cp:lastModifiedBy>Бегинина</cp:lastModifiedBy>
  <cp:revision>1</cp:revision>
  <dcterms:created xsi:type="dcterms:W3CDTF">2023-10-18T07:19:00Z</dcterms:created>
  <dcterms:modified xsi:type="dcterms:W3CDTF">2023-10-18T07:20:00Z</dcterms:modified>
</cp:coreProperties>
</file>