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022B" w14:textId="77777777" w:rsidR="001D3D58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направления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бюджетной </w:t>
      </w:r>
      <w:r w:rsidR="00A447E5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и налоговой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политики</w:t>
      </w:r>
    </w:p>
    <w:p w14:paraId="525CED1C" w14:textId="77777777" w:rsidR="00FA3F72" w:rsidRPr="00FA3F72" w:rsidRDefault="001D3D58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>Краснокутского м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униципального 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>района</w:t>
      </w:r>
      <w:r w:rsidR="00277F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52747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77F5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52011B92" w14:textId="77777777" w:rsidR="00951D22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>и на плановый период 20</w:t>
      </w:r>
      <w:r w:rsidR="00E97FCF" w:rsidRPr="00FA3F7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77F5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и 202</w:t>
      </w:r>
      <w:r w:rsidR="00277F5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годов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F8B860F" w14:textId="77777777"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2B501" w14:textId="77777777" w:rsidR="002F0A36" w:rsidRPr="00C90E73" w:rsidRDefault="00A447E5" w:rsidP="00C90E73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разрабатываются ежегодно в соответствии со статьей </w:t>
      </w:r>
      <w:r w:rsidR="0054715E">
        <w:rPr>
          <w:rFonts w:ascii="Times New Roman" w:hAnsi="Times New Roman" w:cs="Times New Roman"/>
          <w:sz w:val="28"/>
          <w:szCs w:val="28"/>
        </w:rPr>
        <w:t>172,</w:t>
      </w:r>
      <w:r w:rsidR="002F0A36" w:rsidRPr="00C90E73">
        <w:rPr>
          <w:rFonts w:ascii="Times New Roman" w:hAnsi="Times New Roman" w:cs="Times New Roman"/>
          <w:sz w:val="28"/>
          <w:szCs w:val="28"/>
        </w:rPr>
        <w:t>184</w:t>
      </w:r>
      <w:r w:rsidR="002F0A36" w:rsidRPr="00C90E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A5596">
        <w:rPr>
          <w:rFonts w:ascii="Times New Roman" w:hAnsi="Times New Roman" w:cs="Times New Roman"/>
          <w:sz w:val="28"/>
          <w:szCs w:val="28"/>
        </w:rPr>
        <w:t xml:space="preserve"> 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являются обязательным документом, представляемым одновременно с проектом </w:t>
      </w:r>
      <w:r w:rsidR="002F0A36" w:rsidRPr="003F26D5">
        <w:rPr>
          <w:rFonts w:ascii="Times New Roman" w:hAnsi="Times New Roman" w:cs="Times New Roman"/>
          <w:sz w:val="28"/>
          <w:szCs w:val="28"/>
          <w:highlight w:val="yellow"/>
        </w:rPr>
        <w:t>закона о бюджете в законодательный орган.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6D31C" w14:textId="0327F049" w:rsidR="00C03473" w:rsidRDefault="00C03473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елью </w:t>
      </w:r>
      <w:r w:rsidR="00ED0FBD">
        <w:rPr>
          <w:rFonts w:ascii="Times New Roman" w:hAnsi="Times New Roman" w:cs="Times New Roman"/>
          <w:sz w:val="28"/>
          <w:szCs w:val="28"/>
        </w:rPr>
        <w:t>о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и налоговой политики является </w:t>
      </w:r>
      <w:r>
        <w:rPr>
          <w:rFonts w:ascii="Times New Roman" w:hAnsi="Times New Roman" w:cs="Times New Roman"/>
          <w:sz w:val="28"/>
          <w:szCs w:val="28"/>
        </w:rPr>
        <w:t>определение сценарных условий, используемых при составлении проекта бюджета,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 основных подходов к формированию проекта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FBD">
        <w:rPr>
          <w:rFonts w:ascii="Times New Roman" w:hAnsi="Times New Roman" w:cs="Times New Roman"/>
          <w:sz w:val="28"/>
          <w:szCs w:val="28"/>
          <w:highlight w:val="yellow"/>
        </w:rPr>
        <w:t>и  основных</w:t>
      </w:r>
      <w:proofErr w:type="gramEnd"/>
      <w:r w:rsidRPr="00ED0FBD">
        <w:rPr>
          <w:rFonts w:ascii="Times New Roman" w:hAnsi="Times New Roman" w:cs="Times New Roman"/>
          <w:sz w:val="28"/>
          <w:szCs w:val="28"/>
          <w:highlight w:val="yellow"/>
        </w:rPr>
        <w:t xml:space="preserve"> характеристик.</w:t>
      </w:r>
      <w:r w:rsidRPr="00C034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DDBACE" w14:textId="77777777" w:rsidR="00DD6166" w:rsidRPr="00C90E73" w:rsidRDefault="00C03473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90E73">
        <w:rPr>
          <w:rFonts w:ascii="Times New Roman" w:hAnsi="Times New Roman" w:cs="Times New Roman"/>
          <w:bCs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bCs/>
          <w:sz w:val="28"/>
          <w:szCs w:val="28"/>
        </w:rPr>
        <w:t xml:space="preserve">Краснокутского муниципального района </w:t>
      </w:r>
      <w:r w:rsidRPr="00C90E7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90E7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90E73">
        <w:rPr>
          <w:rFonts w:ascii="Times New Roman" w:hAnsi="Times New Roman" w:cs="Times New Roman"/>
          <w:sz w:val="28"/>
          <w:szCs w:val="28"/>
        </w:rPr>
        <w:t>годов определены  в соответствии с бюджетной и налоговой политикой, проводимой на федеральном и областном уровне</w:t>
      </w:r>
      <w:r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DD6166" w:rsidRPr="00C90E73">
        <w:rPr>
          <w:rFonts w:ascii="Times New Roman" w:hAnsi="Times New Roman" w:cs="Times New Roman"/>
          <w:sz w:val="28"/>
          <w:szCs w:val="28"/>
        </w:rPr>
        <w:t>уточненные приоритеты социально-экономического развития Российской Федерации, предусмотренные посланием Президента Российской Федерации Федеральному Собранию Российской Федерации</w:t>
      </w:r>
      <w:r w:rsidR="00457734">
        <w:rPr>
          <w:rFonts w:ascii="Times New Roman" w:hAnsi="Times New Roman" w:cs="Times New Roman"/>
          <w:sz w:val="28"/>
          <w:szCs w:val="28"/>
        </w:rPr>
        <w:t xml:space="preserve"> от 21 апреля 2021года</w:t>
      </w:r>
      <w:r w:rsidR="00527473">
        <w:rPr>
          <w:rFonts w:ascii="Times New Roman" w:hAnsi="Times New Roman" w:cs="Times New Roman"/>
          <w:sz w:val="28"/>
          <w:szCs w:val="28"/>
        </w:rPr>
        <w:t>.</w:t>
      </w:r>
    </w:p>
    <w:p w14:paraId="68543E4F" w14:textId="77777777" w:rsidR="00B431A0" w:rsidRPr="00C03473" w:rsidRDefault="00457734" w:rsidP="00C0347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0347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91DC5" w:rsidRPr="00C03473">
        <w:rPr>
          <w:rFonts w:ascii="Times New Roman" w:hAnsi="Times New Roman" w:cs="Times New Roman"/>
          <w:sz w:val="28"/>
          <w:szCs w:val="28"/>
        </w:rPr>
        <w:t>П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риоритеты </w:t>
      </w:r>
      <w:r w:rsidR="00C34EF7" w:rsidRPr="00C03473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1A4E39" w:rsidRPr="00C03473">
        <w:rPr>
          <w:rFonts w:ascii="Times New Roman" w:hAnsi="Times New Roman" w:cs="Times New Roman"/>
          <w:sz w:val="28"/>
          <w:szCs w:val="28"/>
        </w:rPr>
        <w:t>Краснокутского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направлены на поддержание сбалансированности и устойчивости бюджета </w:t>
      </w:r>
      <w:r w:rsidR="001A4E39" w:rsidRPr="00C03473">
        <w:rPr>
          <w:rFonts w:ascii="Times New Roman" w:hAnsi="Times New Roman" w:cs="Times New Roman"/>
          <w:sz w:val="28"/>
          <w:szCs w:val="28"/>
        </w:rPr>
        <w:t>Краснокутского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3473">
        <w:rPr>
          <w:rFonts w:ascii="Times New Roman" w:hAnsi="Times New Roman" w:cs="Times New Roman"/>
          <w:sz w:val="28"/>
          <w:szCs w:val="28"/>
        </w:rPr>
        <w:t>.</w:t>
      </w:r>
      <w:r w:rsidR="00B431A0" w:rsidRPr="00C034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755DD" w14:textId="77777777" w:rsidR="00B431A0" w:rsidRPr="00C90E73" w:rsidRDefault="00457734" w:rsidP="00C90E73">
      <w:pPr>
        <w:pStyle w:val="Default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1A0" w:rsidRPr="00C90E73">
        <w:rPr>
          <w:sz w:val="28"/>
          <w:szCs w:val="28"/>
        </w:rPr>
        <w:t xml:space="preserve">В условиях ограниченности собственных доходов бюджета района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 </w:t>
      </w:r>
      <w:r w:rsidR="00792FEE" w:rsidRPr="00C90E73">
        <w:rPr>
          <w:sz w:val="28"/>
          <w:szCs w:val="28"/>
        </w:rPr>
        <w:t>Краснокутск</w:t>
      </w:r>
      <w:r w:rsidR="00B431A0" w:rsidRPr="00C90E73">
        <w:rPr>
          <w:sz w:val="28"/>
          <w:szCs w:val="28"/>
        </w:rPr>
        <w:t>ого муниципального района</w:t>
      </w:r>
      <w:r w:rsidR="00527473">
        <w:rPr>
          <w:sz w:val="28"/>
          <w:szCs w:val="28"/>
        </w:rPr>
        <w:t>.</w:t>
      </w:r>
    </w:p>
    <w:p w14:paraId="7FD5A7BE" w14:textId="77777777" w:rsidR="00134BF1" w:rsidRPr="00C90E73" w:rsidRDefault="00134BF1" w:rsidP="00C90E73">
      <w:pPr>
        <w:pStyle w:val="Default"/>
        <w:ind w:left="-284" w:firstLine="284"/>
        <w:jc w:val="both"/>
        <w:rPr>
          <w:sz w:val="28"/>
          <w:szCs w:val="28"/>
        </w:rPr>
      </w:pPr>
    </w:p>
    <w:p w14:paraId="42912786" w14:textId="77777777"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90E73">
        <w:rPr>
          <w:rFonts w:ascii="Times New Roman" w:hAnsi="Times New Roman" w:cs="Times New Roman"/>
          <w:b/>
          <w:bCs/>
          <w:sz w:val="28"/>
          <w:szCs w:val="28"/>
        </w:rPr>
        <w:t>алогов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 политик</w:t>
      </w:r>
      <w:r w:rsidR="00091836" w:rsidRPr="00C90E7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5A6280E" w14:textId="77777777"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B7BE6" w14:textId="77777777" w:rsidR="001D3D58" w:rsidRDefault="001D3D58" w:rsidP="00C34EF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="00457734">
        <w:rPr>
          <w:rFonts w:ascii="Times New Roman" w:hAnsi="Times New Roman" w:cs="Times New Roman"/>
          <w:sz w:val="28"/>
          <w:szCs w:val="28"/>
        </w:rPr>
        <w:t xml:space="preserve">     </w:t>
      </w:r>
      <w:r w:rsidRPr="00C90E73">
        <w:rPr>
          <w:rFonts w:ascii="Times New Roman" w:hAnsi="Times New Roman" w:cs="Times New Roman"/>
          <w:sz w:val="28"/>
          <w:szCs w:val="28"/>
        </w:rPr>
        <w:t>Налоговая политика на 20</w:t>
      </w:r>
      <w:r w:rsidR="00527473">
        <w:rPr>
          <w:rFonts w:ascii="Times New Roman" w:hAnsi="Times New Roman" w:cs="Times New Roman"/>
          <w:sz w:val="28"/>
          <w:szCs w:val="28"/>
        </w:rPr>
        <w:t>2</w:t>
      </w:r>
      <w:r w:rsidR="00457734">
        <w:rPr>
          <w:rFonts w:ascii="Times New Roman" w:hAnsi="Times New Roman" w:cs="Times New Roman"/>
          <w:sz w:val="28"/>
          <w:szCs w:val="28"/>
        </w:rPr>
        <w:t>2</w:t>
      </w:r>
      <w:r w:rsidRPr="00C90E73">
        <w:rPr>
          <w:rFonts w:ascii="Times New Roman" w:hAnsi="Times New Roman" w:cs="Times New Roman"/>
          <w:sz w:val="28"/>
          <w:szCs w:val="28"/>
        </w:rPr>
        <w:t>-202</w:t>
      </w:r>
      <w:r w:rsidR="00457734">
        <w:rPr>
          <w:rFonts w:ascii="Times New Roman" w:hAnsi="Times New Roman" w:cs="Times New Roman"/>
          <w:sz w:val="28"/>
          <w:szCs w:val="28"/>
        </w:rPr>
        <w:t xml:space="preserve">4 </w:t>
      </w:r>
      <w:r w:rsidRPr="00C90E73">
        <w:rPr>
          <w:rFonts w:ascii="Times New Roman" w:hAnsi="Times New Roman" w:cs="Times New Roman"/>
          <w:sz w:val="28"/>
          <w:szCs w:val="28"/>
        </w:rPr>
        <w:t>годы будет отражать преемственность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ранее поставленных целей и задач в области доходов и будет направлена на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сохранение и развитие налоговой базы в сложившихся экономических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условиях.</w:t>
      </w:r>
    </w:p>
    <w:p w14:paraId="6AAD0616" w14:textId="77777777" w:rsidR="00E0764D" w:rsidRPr="00C90E73" w:rsidRDefault="00E0764D" w:rsidP="00C34EF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Налоговый кодекс вносятся постоянно поправки, касающиеся уплаты </w:t>
      </w:r>
      <w:r w:rsidRPr="00F464AF">
        <w:rPr>
          <w:rFonts w:ascii="Times New Roman" w:hAnsi="Times New Roman" w:cs="Times New Roman"/>
          <w:sz w:val="28"/>
          <w:szCs w:val="28"/>
          <w:highlight w:val="yellow"/>
        </w:rPr>
        <w:t>налога.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F6A8A" w14:textId="77777777" w:rsidR="00AE67C6" w:rsidRPr="00C90E73" w:rsidRDefault="00457734" w:rsidP="00E82132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1AC" w:rsidRPr="00C90E73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в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трехлетней перспективе должны быть направлены на мобилизацию всех резервов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повышения налоговых поступлений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14:paraId="5236DCDD" w14:textId="77777777" w:rsidR="00C34EF7" w:rsidRPr="00457734" w:rsidRDefault="00457734" w:rsidP="00457734">
      <w:pPr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 обеспечени</w:t>
      </w:r>
      <w:r w:rsidR="00AE67C6" w:rsidRPr="00C90E73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роста доходов местного бюджета за счет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457734">
        <w:rPr>
          <w:rFonts w:ascii="Times New Roman" w:hAnsi="Times New Roman" w:cs="Times New Roman"/>
          <w:sz w:val="28"/>
          <w:szCs w:val="28"/>
        </w:rPr>
        <w:t>администрирования уже существующих налогов</w:t>
      </w:r>
      <w:r w:rsidR="00C34EF7" w:rsidRPr="00457734">
        <w:rPr>
          <w:rFonts w:ascii="Times New Roman" w:hAnsi="Times New Roman" w:cs="Times New Roman"/>
          <w:sz w:val="28"/>
          <w:szCs w:val="28"/>
        </w:rPr>
        <w:t xml:space="preserve"> и совместной работы с администраторами доходов; </w:t>
      </w:r>
    </w:p>
    <w:p w14:paraId="1DC3F4FC" w14:textId="77777777" w:rsidR="00C34EF7" w:rsidRPr="00C90E73" w:rsidRDefault="00C34EF7" w:rsidP="00E82132">
      <w:pPr>
        <w:pStyle w:val="Default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- </w:t>
      </w:r>
      <w:r w:rsidR="00457734">
        <w:rPr>
          <w:sz w:val="28"/>
          <w:szCs w:val="28"/>
        </w:rPr>
        <w:t xml:space="preserve">  </w:t>
      </w:r>
      <w:r w:rsidRPr="00C90E73">
        <w:rPr>
          <w:sz w:val="28"/>
          <w:szCs w:val="28"/>
        </w:rPr>
        <w:t>сокращени</w:t>
      </w:r>
      <w:r w:rsidR="00A80F20">
        <w:rPr>
          <w:sz w:val="28"/>
          <w:szCs w:val="28"/>
        </w:rPr>
        <w:t>я</w:t>
      </w:r>
      <w:r w:rsidRPr="00C90E73">
        <w:rPr>
          <w:sz w:val="28"/>
          <w:szCs w:val="28"/>
        </w:rPr>
        <w:t xml:space="preserve"> недоимки по налогам; </w:t>
      </w:r>
    </w:p>
    <w:p w14:paraId="019A3434" w14:textId="77777777" w:rsidR="001D3D58" w:rsidRPr="00C90E73" w:rsidRDefault="00A80F20" w:rsidP="00E82132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7734">
        <w:rPr>
          <w:rFonts w:ascii="Times New Roman" w:hAnsi="Times New Roman" w:cs="Times New Roman"/>
          <w:sz w:val="28"/>
          <w:szCs w:val="28"/>
        </w:rPr>
        <w:t xml:space="preserve">   </w:t>
      </w:r>
      <w:r w:rsidR="00951D22" w:rsidRPr="00C90E73">
        <w:rPr>
          <w:rFonts w:ascii="Times New Roman" w:hAnsi="Times New Roman" w:cs="Times New Roman"/>
          <w:sz w:val="28"/>
          <w:szCs w:val="28"/>
        </w:rPr>
        <w:t>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работы по взаимодействию с организациями</w:t>
      </w:r>
      <w:r w:rsidR="00091836" w:rsidRPr="00C90E73">
        <w:rPr>
          <w:rFonts w:ascii="Times New Roman" w:hAnsi="Times New Roman" w:cs="Times New Roman"/>
          <w:sz w:val="28"/>
          <w:szCs w:val="28"/>
        </w:rPr>
        <w:t xml:space="preserve">, </w:t>
      </w:r>
      <w:r w:rsidR="00951D22" w:rsidRPr="00C90E73">
        <w:rPr>
          <w:rFonts w:ascii="Times New Roman" w:hAnsi="Times New Roman" w:cs="Times New Roman"/>
          <w:sz w:val="28"/>
          <w:szCs w:val="28"/>
        </w:rPr>
        <w:t>допускающими выплату заработной платы ниже установленного прожиточного минимума для трудоспособного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населения</w:t>
      </w:r>
      <w:r w:rsidR="00FA0FB8" w:rsidRPr="00C90E73">
        <w:rPr>
          <w:rFonts w:ascii="Times New Roman" w:hAnsi="Times New Roman" w:cs="Times New Roman"/>
          <w:sz w:val="28"/>
          <w:szCs w:val="28"/>
        </w:rPr>
        <w:t>;</w:t>
      </w:r>
    </w:p>
    <w:p w14:paraId="13D15B67" w14:textId="77777777" w:rsidR="00951D22" w:rsidRPr="00C90E73" w:rsidRDefault="001D3D58" w:rsidP="00E8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</w:t>
      </w:r>
      <w:r w:rsidR="00457734">
        <w:rPr>
          <w:rFonts w:ascii="Times New Roman" w:hAnsi="Times New Roman" w:cs="Times New Roman"/>
          <w:sz w:val="28"/>
          <w:szCs w:val="28"/>
        </w:rPr>
        <w:t xml:space="preserve">   </w:t>
      </w:r>
      <w:r w:rsidRPr="00C90E73">
        <w:rPr>
          <w:rFonts w:ascii="Times New Roman" w:hAnsi="Times New Roman" w:cs="Times New Roman"/>
          <w:sz w:val="28"/>
          <w:szCs w:val="28"/>
        </w:rPr>
        <w:t>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951D22" w:rsidRPr="00C90E73">
        <w:rPr>
          <w:rFonts w:ascii="Times New Roman" w:hAnsi="Times New Roman" w:cs="Times New Roman"/>
          <w:sz w:val="28"/>
          <w:szCs w:val="28"/>
        </w:rPr>
        <w:t>легализации«</w:t>
      </w:r>
      <w:proofErr w:type="gramEnd"/>
      <w:r w:rsidR="00951D22" w:rsidRPr="00C90E73">
        <w:rPr>
          <w:rFonts w:ascii="Times New Roman" w:hAnsi="Times New Roman" w:cs="Times New Roman"/>
          <w:sz w:val="28"/>
          <w:szCs w:val="28"/>
        </w:rPr>
        <w:t>теневой</w:t>
      </w:r>
      <w:proofErr w:type="spellEnd"/>
      <w:r w:rsidR="00951D22" w:rsidRPr="00C90E73">
        <w:rPr>
          <w:rFonts w:ascii="Times New Roman" w:hAnsi="Times New Roman" w:cs="Times New Roman"/>
          <w:sz w:val="28"/>
          <w:szCs w:val="28"/>
        </w:rPr>
        <w:t>» заработной платы;</w:t>
      </w:r>
    </w:p>
    <w:p w14:paraId="61AC2DD9" w14:textId="77777777"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57734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продолжени</w:t>
      </w:r>
      <w:r w:rsidR="00457734">
        <w:rPr>
          <w:rFonts w:ascii="Times New Roman" w:hAnsi="Times New Roman" w:cs="Times New Roman"/>
          <w:sz w:val="28"/>
          <w:szCs w:val="28"/>
        </w:rPr>
        <w:t>я</w:t>
      </w:r>
      <w:r w:rsidRPr="00C90E73">
        <w:rPr>
          <w:rFonts w:ascii="Times New Roman" w:hAnsi="Times New Roman" w:cs="Times New Roman"/>
          <w:sz w:val="28"/>
          <w:szCs w:val="28"/>
        </w:rPr>
        <w:t xml:space="preserve"> работы по повышению эффективности использования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муниципального имущества с целью увеличения поступлений в бюджет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неналоговых доходов;</w:t>
      </w:r>
    </w:p>
    <w:p w14:paraId="2567C25A" w14:textId="77777777" w:rsidR="00951D22" w:rsidRPr="00C90E73" w:rsidRDefault="00457734" w:rsidP="00E8213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1D22" w:rsidRPr="00C90E73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с налоговым органом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по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уточнению сведений о земельных участках муниципального образования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с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целью актуализации налогооблагаемой базы, 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в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бюджет;</w:t>
      </w:r>
    </w:p>
    <w:p w14:paraId="1897B0B1" w14:textId="77777777" w:rsidR="00951D22" w:rsidRPr="00C90E73" w:rsidRDefault="00951D22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</w:t>
      </w:r>
      <w:r w:rsidR="00457734">
        <w:rPr>
          <w:rFonts w:ascii="Times New Roman" w:hAnsi="Times New Roman" w:cs="Times New Roman"/>
          <w:sz w:val="28"/>
          <w:szCs w:val="28"/>
        </w:rPr>
        <w:t xml:space="preserve">  </w:t>
      </w:r>
      <w:r w:rsidRPr="00C90E73">
        <w:rPr>
          <w:rFonts w:ascii="Times New Roman" w:hAnsi="Times New Roman" w:cs="Times New Roman"/>
          <w:sz w:val="28"/>
          <w:szCs w:val="28"/>
        </w:rPr>
        <w:t>инвентаризаци</w:t>
      </w:r>
      <w:r w:rsidR="00457734">
        <w:rPr>
          <w:rFonts w:ascii="Times New Roman" w:hAnsi="Times New Roman" w:cs="Times New Roman"/>
          <w:sz w:val="28"/>
          <w:szCs w:val="28"/>
        </w:rPr>
        <w:t>и</w:t>
      </w:r>
      <w:r w:rsidRPr="00C90E73">
        <w:rPr>
          <w:rFonts w:ascii="Times New Roman" w:hAnsi="Times New Roman" w:cs="Times New Roman"/>
          <w:sz w:val="28"/>
          <w:szCs w:val="28"/>
        </w:rPr>
        <w:t xml:space="preserve"> сведений об объектах недвижимого имущества, с целью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выявления объектов, не поставленных на кадастровый учет;</w:t>
      </w:r>
    </w:p>
    <w:p w14:paraId="0E624069" w14:textId="77777777" w:rsidR="00951D22" w:rsidRPr="00C90E73" w:rsidRDefault="00457734" w:rsidP="00E8213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8EB">
        <w:rPr>
          <w:rFonts w:ascii="Times New Roman" w:hAnsi="Times New Roman" w:cs="Times New Roman"/>
          <w:sz w:val="28"/>
          <w:szCs w:val="28"/>
        </w:rPr>
        <w:t>п</w:t>
      </w:r>
      <w:r w:rsidR="00951D22" w:rsidRPr="00C90E73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51D22" w:rsidRPr="00C90E73">
        <w:rPr>
          <w:rFonts w:ascii="Times New Roman" w:hAnsi="Times New Roman" w:cs="Times New Roman"/>
          <w:sz w:val="28"/>
          <w:szCs w:val="28"/>
        </w:rPr>
        <w:t>разъяснительной работы с физическими лицами о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необходимости регистрации объектов недвижимости в органах,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осуществляющих регистрацию прав на недвижимое имущество и сделок с</w:t>
      </w:r>
      <w:r w:rsidR="002569C8">
        <w:rPr>
          <w:rFonts w:ascii="Times New Roman" w:hAnsi="Times New Roman" w:cs="Times New Roman"/>
          <w:sz w:val="28"/>
          <w:szCs w:val="28"/>
        </w:rPr>
        <w:t xml:space="preserve"> </w:t>
      </w:r>
      <w:r w:rsidR="00D26E06" w:rsidRPr="00C90E73">
        <w:rPr>
          <w:rFonts w:ascii="Times New Roman" w:hAnsi="Times New Roman" w:cs="Times New Roman"/>
          <w:sz w:val="28"/>
          <w:szCs w:val="28"/>
        </w:rPr>
        <w:t>н</w:t>
      </w:r>
      <w:r w:rsidR="00951D22" w:rsidRPr="00C90E73">
        <w:rPr>
          <w:rFonts w:ascii="Times New Roman" w:hAnsi="Times New Roman" w:cs="Times New Roman"/>
          <w:sz w:val="28"/>
          <w:szCs w:val="28"/>
        </w:rPr>
        <w:t>им</w:t>
      </w:r>
      <w:r w:rsidR="00D26E06" w:rsidRPr="00C90E73">
        <w:rPr>
          <w:rFonts w:ascii="Times New Roman" w:hAnsi="Times New Roman" w:cs="Times New Roman"/>
          <w:sz w:val="28"/>
          <w:szCs w:val="28"/>
        </w:rPr>
        <w:t>.</w:t>
      </w:r>
    </w:p>
    <w:p w14:paraId="6A4DA1E8" w14:textId="77777777" w:rsidR="00A80F20" w:rsidRDefault="00A80F20" w:rsidP="00A80F2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9301A" w14:textId="77777777" w:rsidR="00867748" w:rsidRDefault="00D26E06" w:rsidP="0052747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EA51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юджетн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527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A51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EA51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5C721B8" w14:textId="77777777" w:rsidR="00FA3F72" w:rsidRPr="00C90E73" w:rsidRDefault="00FA3F72" w:rsidP="0052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658C99" w14:textId="77777777" w:rsidR="00347280" w:rsidRPr="00C90E73" w:rsidRDefault="00EA517D" w:rsidP="00C90E73">
      <w:pPr>
        <w:pStyle w:val="Default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A4F" w:rsidRPr="00C90E73">
        <w:rPr>
          <w:sz w:val="28"/>
          <w:szCs w:val="28"/>
        </w:rPr>
        <w:t>Бюджетная политика района</w:t>
      </w:r>
      <w:r w:rsidR="00FB2B66" w:rsidRPr="00C90E73">
        <w:rPr>
          <w:sz w:val="28"/>
          <w:szCs w:val="28"/>
        </w:rPr>
        <w:t xml:space="preserve"> определена на основании бюджетных приоритетов, определенных на федеральном и региональном уровне и</w:t>
      </w:r>
      <w:r w:rsidR="00567A4F" w:rsidRPr="00C90E73">
        <w:rPr>
          <w:sz w:val="28"/>
          <w:szCs w:val="28"/>
        </w:rPr>
        <w:t xml:space="preserve"> направлена на обеспечение сбалансированности и устойчивости бюджета в условиях ограниченности финансовых ресурсов</w:t>
      </w:r>
      <w:r w:rsidR="00347280" w:rsidRPr="00C90E73">
        <w:rPr>
          <w:sz w:val="28"/>
          <w:szCs w:val="28"/>
        </w:rPr>
        <w:t xml:space="preserve"> и должна отвечать принципам консервативного бюджетного планирования. Ключевыми требованиями к расходной части бюджета района и бюджетов поселений должны быть бережливость и максимальная отдача. </w:t>
      </w:r>
    </w:p>
    <w:p w14:paraId="19CFB40F" w14:textId="77777777" w:rsidR="00CB12AE" w:rsidRPr="00C90E73" w:rsidRDefault="00EA517D" w:rsidP="00527473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748" w:rsidRPr="00C90E73">
        <w:rPr>
          <w:rFonts w:ascii="Times New Roman" w:hAnsi="Times New Roman" w:cs="Times New Roman"/>
          <w:color w:val="000000"/>
          <w:sz w:val="28"/>
          <w:szCs w:val="28"/>
        </w:rPr>
        <w:t>В основу бюджетной политики положено безусловное</w:t>
      </w:r>
      <w:r w:rsidR="0025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748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действующих </w:t>
      </w:r>
      <w:r w:rsidR="002F68D3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="00867748" w:rsidRPr="00C90E73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CB12AE" w:rsidRPr="00C90E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2AE" w:rsidRPr="00C90E73">
        <w:rPr>
          <w:rFonts w:ascii="Times New Roman" w:hAnsi="Times New Roman" w:cs="Times New Roman"/>
          <w:sz w:val="28"/>
          <w:szCs w:val="28"/>
        </w:rPr>
        <w:t xml:space="preserve"> обеспечение открытости и прозрачности бюджета и бюджетного процесса для граждан.</w:t>
      </w:r>
    </w:p>
    <w:p w14:paraId="503B5B45" w14:textId="77777777" w:rsidR="00F97F43" w:rsidRPr="00C90E73" w:rsidRDefault="00EA517D" w:rsidP="00527473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7F43" w:rsidRPr="00C90E73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14:paraId="10294C46" w14:textId="77777777" w:rsidR="00EA517D" w:rsidRDefault="00F97F43" w:rsidP="00EA517D">
      <w:pPr>
        <w:pStyle w:val="Default"/>
        <w:spacing w:line="276" w:lineRule="auto"/>
        <w:ind w:left="-284" w:firstLine="142"/>
        <w:jc w:val="both"/>
        <w:rPr>
          <w:sz w:val="28"/>
          <w:szCs w:val="28"/>
        </w:rPr>
      </w:pPr>
      <w:r w:rsidRPr="00C90E73">
        <w:rPr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</w:t>
      </w:r>
      <w:r w:rsidR="00EA517D">
        <w:rPr>
          <w:sz w:val="28"/>
          <w:szCs w:val="28"/>
        </w:rPr>
        <w:t>;</w:t>
      </w:r>
    </w:p>
    <w:p w14:paraId="1B5FC39E" w14:textId="77777777" w:rsidR="00EA517D" w:rsidRDefault="00EA517D" w:rsidP="00EA517D">
      <w:pPr>
        <w:pStyle w:val="Default"/>
        <w:spacing w:line="276" w:lineRule="auto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F43" w:rsidRPr="00C90E73">
        <w:rPr>
          <w:sz w:val="28"/>
          <w:szCs w:val="28"/>
        </w:rPr>
        <w:t xml:space="preserve"> при планировании бюджетных ассигнований на 20</w:t>
      </w:r>
      <w:r w:rsidR="0052747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97F43" w:rsidRPr="00C90E7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="00F97F43" w:rsidRPr="00C90E7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F97F43" w:rsidRPr="00C90E73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>
        <w:rPr>
          <w:sz w:val="28"/>
          <w:szCs w:val="28"/>
        </w:rPr>
        <w:t>;</w:t>
      </w:r>
    </w:p>
    <w:p w14:paraId="43E041FD" w14:textId="77777777" w:rsidR="00DB5C04" w:rsidRDefault="00EA517D" w:rsidP="00EA517D">
      <w:pPr>
        <w:pStyle w:val="Default"/>
        <w:spacing w:line="276" w:lineRule="auto"/>
        <w:ind w:left="-284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B5C04">
        <w:rPr>
          <w:color w:val="auto"/>
          <w:sz w:val="28"/>
          <w:szCs w:val="28"/>
        </w:rPr>
        <w:t xml:space="preserve">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 сроков и механизмов реализации в </w:t>
      </w:r>
      <w:proofErr w:type="gramStart"/>
      <w:r w:rsidR="00DB5C04">
        <w:rPr>
          <w:color w:val="auto"/>
          <w:sz w:val="28"/>
          <w:szCs w:val="28"/>
        </w:rPr>
        <w:t>пределах  имеющихся</w:t>
      </w:r>
      <w:proofErr w:type="gramEnd"/>
      <w:r w:rsidR="00DB5C04">
        <w:rPr>
          <w:color w:val="auto"/>
          <w:sz w:val="28"/>
          <w:szCs w:val="28"/>
        </w:rPr>
        <w:t xml:space="preserve">  ресурсов,</w:t>
      </w:r>
      <w:r>
        <w:rPr>
          <w:color w:val="auto"/>
          <w:sz w:val="28"/>
          <w:szCs w:val="28"/>
        </w:rPr>
        <w:t xml:space="preserve"> </w:t>
      </w:r>
      <w:r w:rsidR="00DB5C04">
        <w:rPr>
          <w:color w:val="auto"/>
          <w:sz w:val="28"/>
          <w:szCs w:val="28"/>
        </w:rPr>
        <w:t xml:space="preserve">ключевыми требованиями   должны стать бережливость и максимальная отдача. </w:t>
      </w:r>
    </w:p>
    <w:p w14:paraId="0D506C97" w14:textId="77777777" w:rsidR="00DB5C04" w:rsidRDefault="00DB5C04" w:rsidP="00EA517D">
      <w:pPr>
        <w:pStyle w:val="Default"/>
        <w:spacing w:line="276" w:lineRule="auto"/>
        <w:ind w:left="-284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Главные распорядители средств бюджета при исполнении </w:t>
      </w:r>
      <w:proofErr w:type="gramStart"/>
      <w:r>
        <w:rPr>
          <w:color w:val="auto"/>
          <w:sz w:val="28"/>
          <w:szCs w:val="28"/>
        </w:rPr>
        <w:t>бюджета  должны</w:t>
      </w:r>
      <w:proofErr w:type="gramEnd"/>
      <w:r>
        <w:rPr>
          <w:color w:val="auto"/>
          <w:sz w:val="28"/>
          <w:szCs w:val="28"/>
        </w:rPr>
        <w:t xml:space="preserve"> полагаться на отлаженные бюджетные процедуры и высокий уровень бюджетной дисциплины. Все решения в процессе исполнения бюджета </w:t>
      </w:r>
      <w:r w:rsidR="00EA517D">
        <w:rPr>
          <w:color w:val="auto"/>
          <w:sz w:val="28"/>
          <w:szCs w:val="28"/>
        </w:rPr>
        <w:t>должны</w:t>
      </w:r>
      <w:r>
        <w:rPr>
          <w:color w:val="auto"/>
          <w:sz w:val="28"/>
          <w:szCs w:val="28"/>
        </w:rPr>
        <w:t xml:space="preserve">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</w:t>
      </w:r>
    </w:p>
    <w:p w14:paraId="6162A2FD" w14:textId="77777777" w:rsidR="00EA517D" w:rsidRPr="00C90E73" w:rsidRDefault="00EA517D" w:rsidP="00EA517D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>Долговая политика как составная часть бюджетной политики в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призвана обеспечить последовательность реализации целей и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>предыдущего периода и ориентирована в первую очередь на 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>стратегических целей развития района.</w:t>
      </w:r>
    </w:p>
    <w:p w14:paraId="20139E5A" w14:textId="77777777" w:rsidR="00EA517D" w:rsidRPr="00131ADA" w:rsidRDefault="00EA517D" w:rsidP="00EA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1A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Необходимость соблюдения принципа сбалансированности бюджета</w:t>
      </w:r>
    </w:p>
    <w:p w14:paraId="2BAE9F64" w14:textId="77777777" w:rsidR="00EA517D" w:rsidRPr="00C90E73" w:rsidRDefault="00EA517D" w:rsidP="00EA517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AD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подразумевает возможное привлечение заемных средств в случае превышения расходных обязательств над доходами.</w:t>
      </w:r>
    </w:p>
    <w:p w14:paraId="652577BF" w14:textId="77777777" w:rsidR="00DB5C04" w:rsidRDefault="00EA517D" w:rsidP="00EA517D">
      <w:pPr>
        <w:pStyle w:val="Default"/>
        <w:spacing w:line="276" w:lineRule="auto"/>
        <w:ind w:left="-284"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DB5C04">
        <w:rPr>
          <w:color w:val="auto"/>
          <w:sz w:val="28"/>
          <w:szCs w:val="28"/>
        </w:rPr>
        <w:t>Основными направлениями   долговой политики в 2022-2024 годах    являются:</w:t>
      </w:r>
    </w:p>
    <w:p w14:paraId="696FD1F8" w14:textId="77777777" w:rsidR="00DB5C04" w:rsidRDefault="001423B0" w:rsidP="001423B0">
      <w:pPr>
        <w:pStyle w:val="Default"/>
        <w:spacing w:line="276" w:lineRule="auto"/>
        <w:ind w:left="-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- п</w:t>
      </w:r>
      <w:r w:rsidR="00DB5C04">
        <w:rPr>
          <w:color w:val="auto"/>
          <w:sz w:val="28"/>
          <w:szCs w:val="28"/>
        </w:rPr>
        <w:t xml:space="preserve">оддержание величины   муниципального долга </w:t>
      </w:r>
      <w:r>
        <w:rPr>
          <w:color w:val="auto"/>
          <w:sz w:val="28"/>
          <w:szCs w:val="28"/>
        </w:rPr>
        <w:t>района</w:t>
      </w:r>
      <w:r w:rsidR="00DB5C04">
        <w:rPr>
          <w:color w:val="auto"/>
          <w:sz w:val="28"/>
          <w:szCs w:val="28"/>
        </w:rPr>
        <w:t xml:space="preserve"> на экономически безопасном уровне;</w:t>
      </w:r>
    </w:p>
    <w:p w14:paraId="01D71367" w14:textId="77777777" w:rsidR="00DB5C04" w:rsidRDefault="001423B0" w:rsidP="001423B0">
      <w:pPr>
        <w:pStyle w:val="Default"/>
        <w:spacing w:line="276" w:lineRule="auto"/>
        <w:ind w:left="-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- о</w:t>
      </w:r>
      <w:r w:rsidR="00DB5C04">
        <w:rPr>
          <w:color w:val="auto"/>
          <w:sz w:val="28"/>
          <w:szCs w:val="28"/>
        </w:rPr>
        <w:t>существление привлечения  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</w:t>
      </w:r>
      <w:r>
        <w:rPr>
          <w:color w:val="auto"/>
          <w:sz w:val="28"/>
          <w:szCs w:val="28"/>
        </w:rPr>
        <w:t>.</w:t>
      </w:r>
    </w:p>
    <w:p w14:paraId="33101702" w14:textId="77777777" w:rsidR="006761E6" w:rsidRDefault="006761E6" w:rsidP="001423B0">
      <w:pPr>
        <w:pStyle w:val="Default"/>
        <w:spacing w:line="276" w:lineRule="auto"/>
        <w:ind w:left="-284" w:hanging="284"/>
        <w:jc w:val="both"/>
        <w:rPr>
          <w:color w:val="auto"/>
          <w:sz w:val="28"/>
          <w:szCs w:val="28"/>
        </w:rPr>
      </w:pPr>
    </w:p>
    <w:p w14:paraId="0B4F713D" w14:textId="2D3DB4EE" w:rsidR="00131089" w:rsidRPr="00C90E73" w:rsidRDefault="001423B0" w:rsidP="00F464AF">
      <w:p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Прозрачность и открытость бюджета и бюджетного процесса для общества является наиболее актуальным направлением бюджетной политики в настоящее время.  С этой целью информация о бюджете размещается на официальном сайте </w:t>
      </w:r>
      <w:r w:rsidR="00F464AF">
        <w:rPr>
          <w:rFonts w:ascii="Times New Roman" w:hAnsi="Times New Roman" w:cs="Times New Roman"/>
          <w:sz w:val="28"/>
          <w:szCs w:val="28"/>
        </w:rPr>
        <w:t>а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дминистрации района, в разделе «Финансы».  </w:t>
      </w:r>
      <w:proofErr w:type="gramStart"/>
      <w:r w:rsidR="00131089" w:rsidRPr="00C90E73">
        <w:rPr>
          <w:rFonts w:ascii="Times New Roman" w:hAnsi="Times New Roman" w:cs="Times New Roman"/>
          <w:sz w:val="28"/>
          <w:szCs w:val="28"/>
        </w:rPr>
        <w:t xml:space="preserve">Благодаря  </w:t>
      </w:r>
      <w:r w:rsidR="00395D79" w:rsidRPr="00C90E73">
        <w:rPr>
          <w:rFonts w:ascii="Times New Roman" w:hAnsi="Times New Roman" w:cs="Times New Roman"/>
          <w:sz w:val="28"/>
          <w:szCs w:val="28"/>
        </w:rPr>
        <w:t>создан</w:t>
      </w:r>
      <w:r w:rsidR="00131089" w:rsidRPr="00C90E73">
        <w:rPr>
          <w:rFonts w:ascii="Times New Roman" w:hAnsi="Times New Roman" w:cs="Times New Roman"/>
          <w:sz w:val="28"/>
          <w:szCs w:val="28"/>
        </w:rPr>
        <w:t>но</w:t>
      </w:r>
      <w:r w:rsidR="00395D79" w:rsidRPr="00C90E73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сайт</w:t>
      </w:r>
      <w:r w:rsidR="00395D79" w:rsidRPr="00C90E73">
        <w:rPr>
          <w:rFonts w:ascii="Times New Roman" w:hAnsi="Times New Roman" w:cs="Times New Roman"/>
          <w:sz w:val="28"/>
          <w:szCs w:val="28"/>
        </w:rPr>
        <w:t>у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жители района могут в простой и наглядной форме  ознакомиться с направлениями расходования бюджетных средств, найти нужную им информацию и проследить за текущей финансовой ситуацией в интересующей их сфере, задать вопрос, а также обсудить актуальные бюджетные проблемы с помощью сервиса обратной связи в разделе «Обращения граждан».</w:t>
      </w:r>
    </w:p>
    <w:p w14:paraId="01B7DC8C" w14:textId="77777777" w:rsidR="003A2795" w:rsidRDefault="001423B0" w:rsidP="00F464AF">
      <w:pPr>
        <w:pStyle w:val="Default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2795" w:rsidRPr="00C90E73">
        <w:rPr>
          <w:sz w:val="28"/>
          <w:szCs w:val="28"/>
        </w:rPr>
        <w:t xml:space="preserve">Эффективное,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 </w:t>
      </w:r>
    </w:p>
    <w:p w14:paraId="0594A0DC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31EBBBAB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3B8B4BE1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69EACD3E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6FD0A53A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325F9CE1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1912327E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6A27BB93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1153F243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5C81B17B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76829DE9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0BF0F8DF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368834FD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2265ADAC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31C45835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5478AFFC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3504425F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7F72F898" w14:textId="77777777" w:rsidR="00A800C2" w:rsidRDefault="00A800C2" w:rsidP="00527473">
      <w:pPr>
        <w:pStyle w:val="Default"/>
        <w:ind w:left="-284"/>
        <w:jc w:val="both"/>
        <w:rPr>
          <w:sz w:val="28"/>
          <w:szCs w:val="28"/>
        </w:rPr>
      </w:pPr>
    </w:p>
    <w:p w14:paraId="78B7E75C" w14:textId="77777777" w:rsidR="002C099F" w:rsidRDefault="002C099F" w:rsidP="00527473">
      <w:pPr>
        <w:pStyle w:val="Default"/>
        <w:ind w:left="-284"/>
        <w:jc w:val="both"/>
        <w:rPr>
          <w:sz w:val="28"/>
          <w:szCs w:val="28"/>
        </w:rPr>
      </w:pPr>
    </w:p>
    <w:p w14:paraId="4233B646" w14:textId="77777777" w:rsidR="00A800C2" w:rsidRPr="003B5857" w:rsidRDefault="00A800C2" w:rsidP="0018008C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  <w:r w:rsidRPr="003B5857">
        <w:rPr>
          <w:b/>
          <w:sz w:val="28"/>
          <w:szCs w:val="28"/>
        </w:rPr>
        <w:t xml:space="preserve">Основные подходы формирования доходов </w:t>
      </w:r>
    </w:p>
    <w:p w14:paraId="54E46D07" w14:textId="77777777" w:rsidR="00301D71" w:rsidRDefault="00A800C2" w:rsidP="0018008C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  <w:r w:rsidRPr="003B5857">
        <w:rPr>
          <w:b/>
          <w:sz w:val="28"/>
          <w:szCs w:val="28"/>
        </w:rPr>
        <w:t xml:space="preserve">консолидированного бюджета </w:t>
      </w:r>
      <w:proofErr w:type="gramStart"/>
      <w:r>
        <w:rPr>
          <w:b/>
          <w:sz w:val="28"/>
          <w:szCs w:val="28"/>
        </w:rPr>
        <w:t xml:space="preserve">района </w:t>
      </w:r>
      <w:r w:rsidRPr="003B5857">
        <w:rPr>
          <w:b/>
          <w:sz w:val="28"/>
          <w:szCs w:val="28"/>
        </w:rPr>
        <w:t xml:space="preserve"> на</w:t>
      </w:r>
      <w:proofErr w:type="gramEnd"/>
      <w:r w:rsidRPr="003B5857">
        <w:rPr>
          <w:b/>
          <w:sz w:val="28"/>
          <w:szCs w:val="28"/>
        </w:rPr>
        <w:t xml:space="preserve"> 2022 </w:t>
      </w:r>
      <w:r>
        <w:rPr>
          <w:b/>
          <w:sz w:val="28"/>
          <w:szCs w:val="28"/>
        </w:rPr>
        <w:t>-</w:t>
      </w:r>
      <w:r w:rsidRPr="003B5857">
        <w:rPr>
          <w:b/>
          <w:sz w:val="28"/>
          <w:szCs w:val="28"/>
        </w:rPr>
        <w:t xml:space="preserve"> 2024 годы</w:t>
      </w:r>
      <w:r w:rsidR="00301D71">
        <w:rPr>
          <w:b/>
          <w:sz w:val="28"/>
          <w:szCs w:val="28"/>
        </w:rPr>
        <w:t>.</w:t>
      </w:r>
    </w:p>
    <w:p w14:paraId="5A3777F6" w14:textId="77777777" w:rsidR="00A800C2" w:rsidRPr="003B5857" w:rsidRDefault="00A800C2" w:rsidP="0018008C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  <w:r w:rsidRPr="003B5857">
        <w:rPr>
          <w:b/>
          <w:sz w:val="28"/>
          <w:szCs w:val="28"/>
        </w:rPr>
        <w:t xml:space="preserve"> </w:t>
      </w:r>
    </w:p>
    <w:p w14:paraId="1D021114" w14:textId="77777777" w:rsidR="00A800C2" w:rsidRPr="003B5857" w:rsidRDefault="00A800C2" w:rsidP="0018008C">
      <w:pPr>
        <w:spacing w:after="0"/>
        <w:ind w:right="139" w:firstLine="709"/>
        <w:jc w:val="both"/>
        <w:rPr>
          <w:sz w:val="28"/>
          <w:szCs w:val="28"/>
        </w:rPr>
      </w:pPr>
      <w:r w:rsidRPr="003B5857">
        <w:rPr>
          <w:sz w:val="28"/>
          <w:szCs w:val="28"/>
        </w:rPr>
        <w:t xml:space="preserve">Для формирования доходов консолидированного бюджета </w:t>
      </w:r>
      <w:r>
        <w:rPr>
          <w:sz w:val="28"/>
          <w:szCs w:val="28"/>
        </w:rPr>
        <w:t>района</w:t>
      </w:r>
      <w:r w:rsidRPr="003B5857">
        <w:rPr>
          <w:sz w:val="28"/>
          <w:szCs w:val="28"/>
        </w:rPr>
        <w:t xml:space="preserve"> используются показатели прогноза социально-экономического развития </w:t>
      </w:r>
      <w:r>
        <w:rPr>
          <w:sz w:val="28"/>
          <w:szCs w:val="28"/>
        </w:rPr>
        <w:t>района</w:t>
      </w:r>
      <w:r w:rsidRPr="003B5857">
        <w:rPr>
          <w:sz w:val="28"/>
          <w:szCs w:val="28"/>
        </w:rPr>
        <w:t xml:space="preserve"> на 2022-2024 годы, составляемые </w:t>
      </w:r>
      <w:r w:rsidRPr="00911D32">
        <w:rPr>
          <w:sz w:val="28"/>
          <w:szCs w:val="28"/>
          <w:highlight w:val="yellow"/>
        </w:rPr>
        <w:t xml:space="preserve">экономической службой </w:t>
      </w:r>
      <w:proofErr w:type="gramStart"/>
      <w:r w:rsidRPr="00911D32">
        <w:rPr>
          <w:sz w:val="28"/>
          <w:szCs w:val="28"/>
          <w:highlight w:val="yellow"/>
        </w:rPr>
        <w:t>муниципальн</w:t>
      </w:r>
      <w:r w:rsidR="002224BD" w:rsidRPr="00911D32">
        <w:rPr>
          <w:sz w:val="28"/>
          <w:szCs w:val="28"/>
          <w:highlight w:val="yellow"/>
        </w:rPr>
        <w:t xml:space="preserve">ого </w:t>
      </w:r>
      <w:r w:rsidRPr="00911D32">
        <w:rPr>
          <w:sz w:val="28"/>
          <w:szCs w:val="28"/>
          <w:highlight w:val="yellow"/>
        </w:rPr>
        <w:t xml:space="preserve"> района</w:t>
      </w:r>
      <w:proofErr w:type="gramEnd"/>
      <w:r w:rsidRPr="00911D32">
        <w:rPr>
          <w:sz w:val="28"/>
          <w:szCs w:val="28"/>
          <w:highlight w:val="yellow"/>
        </w:rPr>
        <w:t>.</w:t>
      </w:r>
    </w:p>
    <w:p w14:paraId="7355F7A4" w14:textId="77777777" w:rsidR="00A800C2" w:rsidRPr="003B5857" w:rsidRDefault="00A800C2" w:rsidP="00A800C2">
      <w:pPr>
        <w:ind w:right="139" w:firstLine="709"/>
        <w:jc w:val="both"/>
        <w:rPr>
          <w:sz w:val="28"/>
          <w:szCs w:val="28"/>
        </w:rPr>
      </w:pPr>
      <w:r w:rsidRPr="003B5857">
        <w:rPr>
          <w:sz w:val="28"/>
          <w:szCs w:val="28"/>
        </w:rPr>
        <w:t xml:space="preserve">Для расчета показателей по доходам за основу берется «базовый» вариант макроэкономического прогноза, согласно которому индекс потребительских цен на 2022-2024 годы прогнозируется на </w:t>
      </w:r>
      <w:r w:rsidRPr="004A4816">
        <w:rPr>
          <w:sz w:val="28"/>
          <w:szCs w:val="28"/>
        </w:rPr>
        <w:t>уровне 104 процентов ежегодно.</w:t>
      </w:r>
    </w:p>
    <w:p w14:paraId="440A4471" w14:textId="77777777" w:rsidR="00A800C2" w:rsidRPr="003B5857" w:rsidRDefault="00A800C2" w:rsidP="00A800C2">
      <w:pPr>
        <w:ind w:right="139" w:firstLine="709"/>
        <w:jc w:val="both"/>
        <w:rPr>
          <w:sz w:val="28"/>
          <w:szCs w:val="28"/>
        </w:rPr>
      </w:pPr>
      <w:r w:rsidRPr="002A455B">
        <w:rPr>
          <w:sz w:val="28"/>
          <w:szCs w:val="28"/>
          <w:highlight w:val="yellow"/>
        </w:rPr>
        <w:t xml:space="preserve">Средние темпы роста фонда оплаты труда на территории района составят в 2022 году </w:t>
      </w:r>
      <w:r w:rsidR="004A4816" w:rsidRPr="002A455B">
        <w:rPr>
          <w:sz w:val="28"/>
          <w:szCs w:val="28"/>
          <w:highlight w:val="yellow"/>
        </w:rPr>
        <w:t>-</w:t>
      </w:r>
      <w:r w:rsidRPr="002A455B">
        <w:rPr>
          <w:sz w:val="28"/>
          <w:szCs w:val="28"/>
          <w:highlight w:val="yellow"/>
        </w:rPr>
        <w:t xml:space="preserve"> 107,</w:t>
      </w:r>
      <w:r w:rsidR="004A4816" w:rsidRPr="002A455B">
        <w:rPr>
          <w:sz w:val="28"/>
          <w:szCs w:val="28"/>
          <w:highlight w:val="yellow"/>
        </w:rPr>
        <w:t>1</w:t>
      </w:r>
      <w:r w:rsidRPr="002A455B">
        <w:rPr>
          <w:sz w:val="28"/>
          <w:szCs w:val="28"/>
          <w:highlight w:val="yellow"/>
        </w:rPr>
        <w:t xml:space="preserve"> процент, в 2023 году </w:t>
      </w:r>
      <w:r w:rsidR="004A4816" w:rsidRPr="002A455B">
        <w:rPr>
          <w:sz w:val="28"/>
          <w:szCs w:val="28"/>
          <w:highlight w:val="yellow"/>
        </w:rPr>
        <w:t>-</w:t>
      </w:r>
      <w:r w:rsidRPr="002A455B">
        <w:rPr>
          <w:sz w:val="28"/>
          <w:szCs w:val="28"/>
          <w:highlight w:val="yellow"/>
        </w:rPr>
        <w:t xml:space="preserve"> 107,</w:t>
      </w:r>
      <w:r w:rsidR="004A4816" w:rsidRPr="002A455B">
        <w:rPr>
          <w:sz w:val="28"/>
          <w:szCs w:val="28"/>
          <w:highlight w:val="yellow"/>
        </w:rPr>
        <w:t>3</w:t>
      </w:r>
      <w:r w:rsidRPr="002A455B">
        <w:rPr>
          <w:sz w:val="28"/>
          <w:szCs w:val="28"/>
          <w:highlight w:val="yellow"/>
        </w:rPr>
        <w:t xml:space="preserve"> процента, в 2024 году </w:t>
      </w:r>
      <w:r w:rsidR="004A4816" w:rsidRPr="002A455B">
        <w:rPr>
          <w:sz w:val="28"/>
          <w:szCs w:val="28"/>
          <w:highlight w:val="yellow"/>
        </w:rPr>
        <w:t>-</w:t>
      </w:r>
      <w:r w:rsidRPr="002A455B">
        <w:rPr>
          <w:sz w:val="28"/>
          <w:szCs w:val="28"/>
          <w:highlight w:val="yellow"/>
        </w:rPr>
        <w:t xml:space="preserve"> 107,</w:t>
      </w:r>
      <w:r w:rsidR="004A4816" w:rsidRPr="002A455B">
        <w:rPr>
          <w:sz w:val="28"/>
          <w:szCs w:val="28"/>
          <w:highlight w:val="yellow"/>
        </w:rPr>
        <w:t>5</w:t>
      </w:r>
      <w:r w:rsidRPr="002A455B">
        <w:rPr>
          <w:sz w:val="28"/>
          <w:szCs w:val="28"/>
          <w:highlight w:val="yellow"/>
        </w:rPr>
        <w:t xml:space="preserve"> процента.</w:t>
      </w:r>
    </w:p>
    <w:p w14:paraId="58F07240" w14:textId="77777777" w:rsidR="00A800C2" w:rsidRPr="003B5857" w:rsidRDefault="00A800C2" w:rsidP="00A800C2">
      <w:pPr>
        <w:ind w:firstLine="709"/>
        <w:jc w:val="both"/>
        <w:rPr>
          <w:sz w:val="28"/>
          <w:szCs w:val="28"/>
        </w:rPr>
      </w:pPr>
      <w:r w:rsidRPr="003B5857">
        <w:rPr>
          <w:sz w:val="28"/>
          <w:szCs w:val="28"/>
        </w:rPr>
        <w:t>В основу формирования параметров бюджета по налоговым и неналоговым доходам принимаются прогнозы поступлений по доходным источникам главных администраторов доходов.</w:t>
      </w:r>
    </w:p>
    <w:p w14:paraId="1B5BDADE" w14:textId="77777777" w:rsidR="00A800C2" w:rsidRPr="003B5857" w:rsidRDefault="00A800C2" w:rsidP="00F86EB6">
      <w:pPr>
        <w:ind w:firstLine="709"/>
        <w:jc w:val="both"/>
        <w:rPr>
          <w:sz w:val="28"/>
          <w:szCs w:val="28"/>
        </w:rPr>
      </w:pPr>
      <w:r w:rsidRPr="003B5857">
        <w:rPr>
          <w:sz w:val="28"/>
          <w:szCs w:val="28"/>
        </w:rPr>
        <w:t xml:space="preserve">При этом прогнозные разработки на 2022 год и плановый период 2023-2024 годов по каждому виду доходов осуществляются по утвержденной  методике прогнозирования налоговых и неналоговых доходов на базе сложившейся динамики начислений и поступлений платежей, ожидаемой оценки в текущем году, задолженности по налоговым и неналоговым доходам, кадастровой стоимости земли и объектов недвижимого имущества, заключенных договоров на передачу в аренду земельных участков и имущества, действующих ставок по налоговым и неналоговым платежам с учетом внесенных изменений в налоговое и бюджетное законодательство. </w:t>
      </w:r>
    </w:p>
    <w:p w14:paraId="2DE8336B" w14:textId="77777777" w:rsidR="00A800C2" w:rsidRDefault="00A800C2" w:rsidP="00A800C2">
      <w:pPr>
        <w:shd w:val="clear" w:color="auto" w:fill="FFFFFF"/>
        <w:ind w:right="139" w:firstLine="709"/>
        <w:jc w:val="both"/>
        <w:rPr>
          <w:b/>
          <w:sz w:val="28"/>
          <w:szCs w:val="28"/>
        </w:rPr>
      </w:pPr>
    </w:p>
    <w:p w14:paraId="40094F43" w14:textId="77777777" w:rsidR="005F2A43" w:rsidRDefault="005F2A43" w:rsidP="00A800C2">
      <w:pPr>
        <w:shd w:val="clear" w:color="auto" w:fill="FFFFFF"/>
        <w:ind w:right="139" w:firstLine="709"/>
        <w:jc w:val="both"/>
        <w:rPr>
          <w:b/>
          <w:sz w:val="28"/>
          <w:szCs w:val="28"/>
        </w:rPr>
      </w:pPr>
    </w:p>
    <w:p w14:paraId="40328A71" w14:textId="77777777" w:rsidR="005F2A43" w:rsidRPr="003B5857" w:rsidRDefault="005F2A43" w:rsidP="00A800C2">
      <w:pPr>
        <w:shd w:val="clear" w:color="auto" w:fill="FFFFFF"/>
        <w:ind w:right="139" w:firstLine="709"/>
        <w:jc w:val="both"/>
        <w:rPr>
          <w:b/>
          <w:sz w:val="28"/>
          <w:szCs w:val="28"/>
        </w:rPr>
      </w:pPr>
    </w:p>
    <w:p w14:paraId="6DF5E75E" w14:textId="77777777" w:rsidR="00A800C2" w:rsidRPr="00390A49" w:rsidRDefault="00A800C2" w:rsidP="00A800C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0DB9E495" w14:textId="77777777" w:rsidR="00A800C2" w:rsidRDefault="00A800C2" w:rsidP="00A800C2">
      <w:pPr>
        <w:ind w:firstLine="709"/>
        <w:jc w:val="both"/>
        <w:rPr>
          <w:sz w:val="28"/>
          <w:szCs w:val="28"/>
        </w:rPr>
      </w:pPr>
    </w:p>
    <w:p w14:paraId="2F82DD1B" w14:textId="77777777" w:rsidR="00F86EB6" w:rsidRPr="00926AB1" w:rsidRDefault="00F86EB6" w:rsidP="00A800C2">
      <w:pPr>
        <w:ind w:firstLine="709"/>
        <w:jc w:val="both"/>
        <w:rPr>
          <w:sz w:val="28"/>
          <w:szCs w:val="28"/>
        </w:rPr>
      </w:pPr>
    </w:p>
    <w:p w14:paraId="4A691865" w14:textId="77777777" w:rsidR="00A800C2" w:rsidRDefault="00A800C2" w:rsidP="00A80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D9AE63" w14:textId="77777777" w:rsidR="00A800C2" w:rsidRPr="007A393F" w:rsidRDefault="005F2A43" w:rsidP="00A800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00C2" w:rsidRPr="007A393F">
        <w:rPr>
          <w:rFonts w:ascii="Times New Roman" w:hAnsi="Times New Roman" w:cs="Times New Roman"/>
          <w:sz w:val="28"/>
          <w:szCs w:val="28"/>
        </w:rPr>
        <w:t xml:space="preserve"> Особенности отражения бюджетных ассигнований по кодам</w:t>
      </w:r>
    </w:p>
    <w:p w14:paraId="0603E1B0" w14:textId="77777777" w:rsidR="00A800C2" w:rsidRPr="007A393F" w:rsidRDefault="00A800C2" w:rsidP="00A800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393F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93F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5DF5C89F" w14:textId="77777777" w:rsidR="00A800C2" w:rsidRPr="007A393F" w:rsidRDefault="00A800C2" w:rsidP="00A800C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393F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93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93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91E51A1" w14:textId="77777777" w:rsidR="00A800C2" w:rsidRPr="007A393F" w:rsidRDefault="00A800C2" w:rsidP="00A800C2">
      <w:pPr>
        <w:pStyle w:val="ConsPlusNormal"/>
        <w:ind w:firstLine="709"/>
        <w:jc w:val="both"/>
      </w:pPr>
    </w:p>
    <w:p w14:paraId="5B2E6D78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Распределение бюджетных ассигнований на 2022 год и на плановый период 2023 и 2024 годов по соответствующим кодам классификации расходов бюджетов следует осуществлять:</w:t>
      </w:r>
    </w:p>
    <w:p w14:paraId="1F2A8896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в соответствии с приказами Министерства финансов Российской Федерации:</w:t>
      </w:r>
    </w:p>
    <w:p w14:paraId="3DC69CDD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 xml:space="preserve">- от 8 июня 2021 года </w:t>
      </w:r>
      <w:hyperlink r:id="rId6" w:history="1">
        <w:r w:rsidRPr="00926AB1">
          <w:rPr>
            <w:rStyle w:val="a8"/>
          </w:rPr>
          <w:t>№ 75н</w:t>
        </w:r>
      </w:hyperlink>
      <w:r w:rsidRPr="00926AB1">
        <w:t xml:space="preserve"> «Об утверждении кодов (перечней кодов) бюджетной классификации Российской Федерации на 2022 год (на 2022 год и на плановый период 2023 и 2024 годов)» (далее - Приказ № 75н);</w:t>
      </w:r>
    </w:p>
    <w:p w14:paraId="077C90DF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от 11 июня 2021 г. № 78н «О внесении изменений в порядок и применение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№ 85н (далее  Приказ  78н), применяемого к правоотношениям, возникающим при составлении и исполнении бюджетов бюджетной системы Российской Федерации, начиная с бюджетов бюджетной системы Российской Федерации на 2022 год (на 2022 год и на плановый период 2023 и 2024 годов)</w:t>
      </w:r>
      <w:r>
        <w:t>, одной из особенностью которого является изменение структуры кода целевой статьи расходов бюджета</w:t>
      </w:r>
      <w:r w:rsidRPr="00926AB1">
        <w:t>;</w:t>
      </w:r>
    </w:p>
    <w:p w14:paraId="50CE7288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в соответствии с распоряжением Правительства Российской Федерации от 22 июня 2021 года № 1689-р, актуализирующий перечень государственных программ Российской Федерации;</w:t>
      </w:r>
    </w:p>
    <w:p w14:paraId="1B0CBC1A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в соответствии с Постановлением Правительства Российской Федерации от 26 мая 2021 года №786 «О системе управления государственными программами Российской Федерации» утверждено Положение «О системе управления государственными программами Российской Федерации». Пунктом 7 указанного постановления органам исполнительной власти субъектов рекомендовано учитывать нормы данного Положения;</w:t>
      </w:r>
    </w:p>
    <w:p w14:paraId="5298EC1D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с учетом:</w:t>
      </w:r>
    </w:p>
    <w:p w14:paraId="4FA6F6FE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таблицы соответствия разделов (подразделов) и видов расходов классификации расходов бюджетов, применяемых при составлении и исполнении федерального бюджета на 2022 год и на плановый период 2023 и 2024 годов;</w:t>
      </w:r>
    </w:p>
    <w:p w14:paraId="535E3BAC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сопоставительной таблицы изменений единых для бюджетов бюджетной системы Российской Федерации видов расходов классификации расходов бюджетов, применяемых в 2021 году, к применяемым в 2022 году и плановом периоде 2023 и 2024 годах;</w:t>
      </w:r>
    </w:p>
    <w:p w14:paraId="612427AC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сопоставительной таблицы целевых статей расходов, применяемых при исполнении федерального бюджета в 2021 году, к применяемым в 2022 году и плановом периоде 2023 и 2024 годов;</w:t>
      </w:r>
    </w:p>
    <w:p w14:paraId="4312EACB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lastRenderedPageBreak/>
        <w:t>- аналитической таблицы изменений в направлениях расходов, применяемых в 2021 году, к применяемым в 2022 году и плановом периоде 2023 и 2024 годах;</w:t>
      </w:r>
    </w:p>
    <w:p w14:paraId="47C64A82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 xml:space="preserve">- таблицы соответствия форм обоснований бюджетных ассигнований кодам видов расходов, </w:t>
      </w:r>
      <w:r w:rsidRPr="00642181">
        <w:rPr>
          <w:highlight w:val="yellow"/>
        </w:rPr>
        <w:t>направлений расходов классификации расходов бюджетов по государственным внебюджетным фондам Российской Федерации</w:t>
      </w:r>
      <w:r w:rsidRPr="00926AB1">
        <w:t xml:space="preserve"> на 2022 год и плановый период 2023 и 2024 годов;</w:t>
      </w:r>
    </w:p>
    <w:p w14:paraId="1D25321F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применяемая в 2022 году;</w:t>
      </w:r>
    </w:p>
    <w:p w14:paraId="3700A162" w14:textId="77777777" w:rsidR="00A800C2" w:rsidRPr="00926AB1" w:rsidRDefault="00A800C2" w:rsidP="00A800C2">
      <w:pPr>
        <w:pStyle w:val="ConsPlusNormal"/>
        <w:ind w:firstLine="709"/>
        <w:jc w:val="both"/>
      </w:pPr>
      <w:r w:rsidRPr="00926AB1">
        <w:t>- 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2022 год и на плановый период 2023 и 2024 годов.</w:t>
      </w:r>
    </w:p>
    <w:p w14:paraId="2E3C0970" w14:textId="77777777" w:rsidR="00A800C2" w:rsidRPr="00926AB1" w:rsidRDefault="00642181" w:rsidP="00A800C2">
      <w:pPr>
        <w:pStyle w:val="ConsPlusNormal"/>
        <w:ind w:firstLine="709"/>
        <w:jc w:val="both"/>
      </w:pPr>
      <w:hyperlink r:id="rId7" w:history="1">
        <w:r w:rsidR="00A800C2" w:rsidRPr="00642181">
          <w:rPr>
            <w:rStyle w:val="a8"/>
            <w:highlight w:val="yellow"/>
          </w:rPr>
          <w:t>Приказ</w:t>
        </w:r>
      </w:hyperlink>
      <w:r w:rsidR="00A800C2" w:rsidRPr="00642181">
        <w:rPr>
          <w:highlight w:val="yellow"/>
        </w:rPr>
        <w:t xml:space="preserve"> № 75н, </w:t>
      </w:r>
      <w:hyperlink r:id="rId8" w:history="1">
        <w:r w:rsidR="00A800C2" w:rsidRPr="00642181">
          <w:rPr>
            <w:rStyle w:val="a8"/>
            <w:highlight w:val="yellow"/>
          </w:rPr>
          <w:t>Приказ</w:t>
        </w:r>
      </w:hyperlink>
      <w:r w:rsidR="00A800C2" w:rsidRPr="00642181">
        <w:rPr>
          <w:highlight w:val="yellow"/>
        </w:rPr>
        <w:t xml:space="preserve"> № 78н, а также вышеуказанные таблицы, размещены на официальном сайте Министерства финансов Российской Федерации (www.minfin.ru) в рубрике «Бюджет», разделе «Бюджетная классификация Российской Федерации» (подразделы «Бюджетная классификация Российской Федерации» и «Методический кабинет»).</w:t>
      </w:r>
    </w:p>
    <w:p w14:paraId="5042E98D" w14:textId="77777777" w:rsidR="00A800C2" w:rsidRPr="007A393F" w:rsidRDefault="00A800C2" w:rsidP="00A800C2">
      <w:pPr>
        <w:pStyle w:val="ConsPlusNormal"/>
        <w:ind w:firstLine="709"/>
        <w:jc w:val="both"/>
      </w:pPr>
      <w:r w:rsidRPr="00926AB1">
        <w:t xml:space="preserve">Распределение бюджетных ассигнований бюджета </w:t>
      </w:r>
      <w:r w:rsidRPr="00642181">
        <w:rPr>
          <w:highlight w:val="yellow"/>
        </w:rPr>
        <w:t>области</w:t>
      </w:r>
      <w:r w:rsidRPr="00926AB1">
        <w:t xml:space="preserve"> необходимо осуществлять с учетом предусмотренных </w:t>
      </w:r>
      <w:hyperlink r:id="rId9" w:history="1">
        <w:r w:rsidRPr="00926AB1">
          <w:t>Приказам</w:t>
        </w:r>
      </w:hyperlink>
      <w:r w:rsidRPr="00926AB1">
        <w:t>и изменений и особенностей применения классификации расходов бюджетов.</w:t>
      </w:r>
    </w:p>
    <w:p w14:paraId="32069439" w14:textId="77777777" w:rsidR="00A800C2" w:rsidRPr="00210FA0" w:rsidRDefault="00A800C2" w:rsidP="00A800C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14:paraId="41712BEB" w14:textId="77777777" w:rsidR="00A800C2" w:rsidRPr="000A57BC" w:rsidRDefault="00A800C2" w:rsidP="00A800C2">
      <w:pPr>
        <w:ind w:firstLine="709"/>
        <w:jc w:val="center"/>
        <w:rPr>
          <w:b/>
          <w:sz w:val="28"/>
          <w:szCs w:val="28"/>
        </w:rPr>
      </w:pPr>
      <w:r w:rsidRPr="000A57BC">
        <w:rPr>
          <w:b/>
          <w:sz w:val="28"/>
          <w:szCs w:val="28"/>
        </w:rPr>
        <w:t xml:space="preserve"> Основные направления в области межбюджетных отношений</w:t>
      </w:r>
    </w:p>
    <w:p w14:paraId="2DAEAEB7" w14:textId="77777777" w:rsidR="00A800C2" w:rsidRPr="00926AB1" w:rsidRDefault="00A800C2" w:rsidP="00A800C2">
      <w:pPr>
        <w:ind w:firstLine="709"/>
        <w:jc w:val="both"/>
        <w:rPr>
          <w:sz w:val="28"/>
          <w:szCs w:val="28"/>
        </w:rPr>
      </w:pPr>
      <w:r w:rsidRPr="00926AB1">
        <w:rPr>
          <w:sz w:val="28"/>
          <w:szCs w:val="28"/>
        </w:rPr>
        <w:t>Бюджетная политика в сфере межбюджетных отношений будет направлена на:</w:t>
      </w:r>
    </w:p>
    <w:p w14:paraId="21715BE1" w14:textId="77777777" w:rsidR="00A800C2" w:rsidRPr="00926AB1" w:rsidRDefault="00A800C2" w:rsidP="00A80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AB1">
        <w:rPr>
          <w:sz w:val="28"/>
          <w:szCs w:val="28"/>
        </w:rPr>
        <w:t>- соблюдение органами местного самоуправления бюджетного законодательства и повышение уровня финансовой дисциплины;</w:t>
      </w:r>
    </w:p>
    <w:p w14:paraId="14DE7F76" w14:textId="77777777" w:rsidR="00A800C2" w:rsidRPr="00926AB1" w:rsidRDefault="00A800C2" w:rsidP="00A80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AB1">
        <w:rPr>
          <w:sz w:val="28"/>
          <w:szCs w:val="28"/>
        </w:rPr>
        <w:t>- формирование устойчивой собственной доходной базы местных бюджетов, создание стимулов по ее наращиванию;</w:t>
      </w:r>
    </w:p>
    <w:p w14:paraId="36CC989A" w14:textId="77777777" w:rsidR="00A800C2" w:rsidRPr="00926AB1" w:rsidRDefault="00A800C2" w:rsidP="00A80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AB1">
        <w:rPr>
          <w:sz w:val="28"/>
          <w:szCs w:val="28"/>
        </w:rPr>
        <w:t>- создание стимулов для повышения качества управления муниципальными финансами, эффективности расходования бюджетных средств и ответственности органов местного самоуправления за проводимую бюджетную политику;</w:t>
      </w:r>
    </w:p>
    <w:p w14:paraId="62071167" w14:textId="77777777" w:rsidR="00A800C2" w:rsidRPr="00926AB1" w:rsidRDefault="00A800C2" w:rsidP="00A80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AB1">
        <w:rPr>
          <w:sz w:val="28"/>
          <w:szCs w:val="28"/>
        </w:rPr>
        <w:t>- обеспечение сбалансированности местных бюджетов;</w:t>
      </w:r>
    </w:p>
    <w:p w14:paraId="443384DE" w14:textId="77777777" w:rsidR="00A800C2" w:rsidRPr="00926AB1" w:rsidRDefault="00A800C2" w:rsidP="00A80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AB1">
        <w:rPr>
          <w:sz w:val="28"/>
          <w:szCs w:val="28"/>
        </w:rPr>
        <w:t>- сокращение муниципального долга.</w:t>
      </w:r>
    </w:p>
    <w:p w14:paraId="077D1A6F" w14:textId="77777777" w:rsidR="00A800C2" w:rsidRDefault="00A800C2" w:rsidP="00CC1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892">
        <w:rPr>
          <w:color w:val="000000"/>
          <w:sz w:val="28"/>
          <w:szCs w:val="28"/>
        </w:rPr>
        <w:t xml:space="preserve">С 2022 года вступает в силу норма Бюджетного кодекса по оценке долговой устойчивости муниципальных образований. </w:t>
      </w:r>
    </w:p>
    <w:sectPr w:rsidR="00A800C2" w:rsidSect="00CC1C3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4FC"/>
    <w:multiLevelType w:val="hybridMultilevel"/>
    <w:tmpl w:val="ADC4E1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23405C"/>
    <w:multiLevelType w:val="hybridMultilevel"/>
    <w:tmpl w:val="8BD88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C7C33"/>
    <w:multiLevelType w:val="hybridMultilevel"/>
    <w:tmpl w:val="9050F2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D22"/>
    <w:rsid w:val="000052DF"/>
    <w:rsid w:val="00034459"/>
    <w:rsid w:val="00043BC5"/>
    <w:rsid w:val="00080072"/>
    <w:rsid w:val="00091836"/>
    <w:rsid w:val="000A7FEE"/>
    <w:rsid w:val="000B5BC6"/>
    <w:rsid w:val="000C07DF"/>
    <w:rsid w:val="000C6DE2"/>
    <w:rsid w:val="000D3250"/>
    <w:rsid w:val="000F7535"/>
    <w:rsid w:val="00112541"/>
    <w:rsid w:val="00131089"/>
    <w:rsid w:val="00131ADA"/>
    <w:rsid w:val="00134BF1"/>
    <w:rsid w:val="001423B0"/>
    <w:rsid w:val="00163FE7"/>
    <w:rsid w:val="0018008C"/>
    <w:rsid w:val="001810B6"/>
    <w:rsid w:val="001820FE"/>
    <w:rsid w:val="001A4E39"/>
    <w:rsid w:val="001A6A9C"/>
    <w:rsid w:val="001C6987"/>
    <w:rsid w:val="001D3D58"/>
    <w:rsid w:val="001D61E2"/>
    <w:rsid w:val="001E27D0"/>
    <w:rsid w:val="00210985"/>
    <w:rsid w:val="002224BD"/>
    <w:rsid w:val="002569C8"/>
    <w:rsid w:val="002642BB"/>
    <w:rsid w:val="00272570"/>
    <w:rsid w:val="00277F52"/>
    <w:rsid w:val="0029268C"/>
    <w:rsid w:val="002A455B"/>
    <w:rsid w:val="002B2304"/>
    <w:rsid w:val="002C099F"/>
    <w:rsid w:val="002D102A"/>
    <w:rsid w:val="002E1284"/>
    <w:rsid w:val="002F0A36"/>
    <w:rsid w:val="002F68D3"/>
    <w:rsid w:val="00301D71"/>
    <w:rsid w:val="00313FD5"/>
    <w:rsid w:val="00347280"/>
    <w:rsid w:val="00373228"/>
    <w:rsid w:val="00395D79"/>
    <w:rsid w:val="003A2795"/>
    <w:rsid w:val="003B3FBD"/>
    <w:rsid w:val="003C2520"/>
    <w:rsid w:val="003F26D5"/>
    <w:rsid w:val="00457734"/>
    <w:rsid w:val="00466E17"/>
    <w:rsid w:val="004A4816"/>
    <w:rsid w:val="004A5596"/>
    <w:rsid w:val="004E6550"/>
    <w:rsid w:val="005144D9"/>
    <w:rsid w:val="00527473"/>
    <w:rsid w:val="0054715E"/>
    <w:rsid w:val="00567A4F"/>
    <w:rsid w:val="005F085E"/>
    <w:rsid w:val="005F2A43"/>
    <w:rsid w:val="00615D9E"/>
    <w:rsid w:val="00634FDB"/>
    <w:rsid w:val="00642181"/>
    <w:rsid w:val="006761E6"/>
    <w:rsid w:val="006A1F89"/>
    <w:rsid w:val="006E61AC"/>
    <w:rsid w:val="00792FEE"/>
    <w:rsid w:val="007C6135"/>
    <w:rsid w:val="007F4F7B"/>
    <w:rsid w:val="0085022C"/>
    <w:rsid w:val="00867748"/>
    <w:rsid w:val="008B3A5C"/>
    <w:rsid w:val="008D131D"/>
    <w:rsid w:val="008D3591"/>
    <w:rsid w:val="008F1AEE"/>
    <w:rsid w:val="008F556F"/>
    <w:rsid w:val="00911D32"/>
    <w:rsid w:val="0091402E"/>
    <w:rsid w:val="00943E07"/>
    <w:rsid w:val="00950F63"/>
    <w:rsid w:val="00951D22"/>
    <w:rsid w:val="0098522F"/>
    <w:rsid w:val="00987BDA"/>
    <w:rsid w:val="009911F3"/>
    <w:rsid w:val="0099267A"/>
    <w:rsid w:val="00A447E5"/>
    <w:rsid w:val="00A63953"/>
    <w:rsid w:val="00A72464"/>
    <w:rsid w:val="00A800C2"/>
    <w:rsid w:val="00A80F20"/>
    <w:rsid w:val="00AA13C6"/>
    <w:rsid w:val="00AB752C"/>
    <w:rsid w:val="00AE46FA"/>
    <w:rsid w:val="00AE67C6"/>
    <w:rsid w:val="00B40737"/>
    <w:rsid w:val="00B431A0"/>
    <w:rsid w:val="00B91DC5"/>
    <w:rsid w:val="00BB4F4A"/>
    <w:rsid w:val="00BC531C"/>
    <w:rsid w:val="00BE529D"/>
    <w:rsid w:val="00BE65C8"/>
    <w:rsid w:val="00C03473"/>
    <w:rsid w:val="00C20C1E"/>
    <w:rsid w:val="00C34EF7"/>
    <w:rsid w:val="00C63EDA"/>
    <w:rsid w:val="00C90E73"/>
    <w:rsid w:val="00CB12AE"/>
    <w:rsid w:val="00CC1C36"/>
    <w:rsid w:val="00CD4386"/>
    <w:rsid w:val="00CE71A0"/>
    <w:rsid w:val="00CF05F0"/>
    <w:rsid w:val="00D17FFD"/>
    <w:rsid w:val="00D26E06"/>
    <w:rsid w:val="00D31829"/>
    <w:rsid w:val="00D328ED"/>
    <w:rsid w:val="00D32FD4"/>
    <w:rsid w:val="00DA59D4"/>
    <w:rsid w:val="00DB5C04"/>
    <w:rsid w:val="00DD6166"/>
    <w:rsid w:val="00E0764D"/>
    <w:rsid w:val="00E63CB5"/>
    <w:rsid w:val="00E7262F"/>
    <w:rsid w:val="00E82132"/>
    <w:rsid w:val="00E9401A"/>
    <w:rsid w:val="00E95994"/>
    <w:rsid w:val="00E978EB"/>
    <w:rsid w:val="00E97FCF"/>
    <w:rsid w:val="00EA517D"/>
    <w:rsid w:val="00EB6B5A"/>
    <w:rsid w:val="00ED0FBD"/>
    <w:rsid w:val="00F16547"/>
    <w:rsid w:val="00F464AF"/>
    <w:rsid w:val="00F86EB6"/>
    <w:rsid w:val="00F97F43"/>
    <w:rsid w:val="00FA0FB8"/>
    <w:rsid w:val="00FA3DD3"/>
    <w:rsid w:val="00FA3F72"/>
    <w:rsid w:val="00FB2B66"/>
    <w:rsid w:val="00FD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326D"/>
  <w15:docId w15:val="{AF33CB88-1795-4135-96E0-75BEFB2A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C6D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0C6DE2"/>
    <w:rPr>
      <w:rFonts w:ascii="Calibri" w:eastAsia="Calibri" w:hAnsi="Calibri" w:cs="Times New Roman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0344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03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344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991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uiPriority w:val="22"/>
    <w:qFormat/>
    <w:rsid w:val="00C03473"/>
    <w:rPr>
      <w:b/>
      <w:bCs/>
    </w:rPr>
  </w:style>
  <w:style w:type="character" w:styleId="a8">
    <w:name w:val="Hyperlink"/>
    <w:uiPriority w:val="99"/>
    <w:unhideWhenUsed/>
    <w:rsid w:val="00A800C2"/>
    <w:rPr>
      <w:color w:val="0000FF"/>
      <w:u w:val="single"/>
    </w:rPr>
  </w:style>
  <w:style w:type="character" w:customStyle="1" w:styleId="14">
    <w:name w:val="14 Знак"/>
    <w:link w:val="140"/>
    <w:locked/>
    <w:rsid w:val="00A800C2"/>
    <w:rPr>
      <w:rFonts w:ascii="Calibri" w:eastAsia="Calibri" w:hAnsi="Calibri"/>
      <w:sz w:val="28"/>
      <w:szCs w:val="28"/>
    </w:rPr>
  </w:style>
  <w:style w:type="paragraph" w:customStyle="1" w:styleId="140">
    <w:name w:val="14"/>
    <w:basedOn w:val="a"/>
    <w:link w:val="14"/>
    <w:qFormat/>
    <w:rsid w:val="00A800C2"/>
    <w:pPr>
      <w:tabs>
        <w:tab w:val="left" w:pos="142"/>
      </w:tabs>
      <w:spacing w:after="0" w:line="240" w:lineRule="auto"/>
      <w:ind w:left="-567"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CharStyle13">
    <w:name w:val="Char Style 13"/>
    <w:link w:val="Style12"/>
    <w:uiPriority w:val="99"/>
    <w:locked/>
    <w:rsid w:val="00A800C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A800C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A800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80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A28B5EB19283771F33834826CE4B5A2EDF1CC24FDDC8652386141CAE1136F3B97BCAD3ED7D5ED607EBA8BECmCa6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A28B5EB19283771F33834826CE4B5A2EDF1CC2CF9DC8652386141CAE1136F3B97BCAD3ED7D5ED607EBA8BECmCa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1A28B5EB19283771F33834826CE4B5A2EDF1CC24FDDC8652386141CAE1136F3B97BCAD3ED7D5ED607EBA8BECmCa6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A28B5EB19283771F33834826CE4B5A2EDF1CC24FDDC8652386141CAE1136F3B97BCAD3ED7D5ED607EBA8BECmC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1461-3486-40D8-A3B8-319BCFF3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Тихонова</cp:lastModifiedBy>
  <cp:revision>124</cp:revision>
  <cp:lastPrinted>2021-08-18T05:40:00Z</cp:lastPrinted>
  <dcterms:created xsi:type="dcterms:W3CDTF">2017-10-25T06:22:00Z</dcterms:created>
  <dcterms:modified xsi:type="dcterms:W3CDTF">2021-08-25T04:56:00Z</dcterms:modified>
</cp:coreProperties>
</file>