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97796B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  <w:u w:val="single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7796B" w:rsidRPr="0097796B">
        <w:rPr>
          <w:rFonts w:ascii="Times New Roman" w:hAnsi="Times New Roman"/>
          <w:color w:val="000000"/>
          <w:sz w:val="24"/>
          <w:szCs w:val="24"/>
          <w:u w:val="single"/>
        </w:rPr>
        <w:t>25.04.2022</w:t>
      </w:r>
      <w:r w:rsidR="00977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D95">
        <w:rPr>
          <w:rFonts w:ascii="Times New Roman" w:hAnsi="Times New Roman"/>
          <w:color w:val="000000"/>
          <w:sz w:val="24"/>
          <w:szCs w:val="24"/>
        </w:rPr>
        <w:t>№</w:t>
      </w:r>
      <w:r w:rsidR="0097796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7796B" w:rsidRPr="0097796B">
        <w:rPr>
          <w:rFonts w:ascii="Times New Roman" w:hAnsi="Times New Roman"/>
          <w:color w:val="000000"/>
          <w:sz w:val="24"/>
          <w:szCs w:val="24"/>
          <w:u w:val="single"/>
        </w:rPr>
        <w:t>232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DF5EC3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>Красный Кут,  ул.</w:t>
      </w:r>
      <w:r w:rsidR="00DF5EC3">
        <w:rPr>
          <w:rFonts w:ascii="Times New Roman" w:hAnsi="Times New Roman" w:cs="Times New Roman"/>
          <w:sz w:val="28"/>
          <w:szCs w:val="28"/>
        </w:rPr>
        <w:t xml:space="preserve"> </w:t>
      </w:r>
      <w:r w:rsidR="00095C10">
        <w:rPr>
          <w:rFonts w:ascii="Times New Roman" w:hAnsi="Times New Roman" w:cs="Times New Roman"/>
          <w:sz w:val="28"/>
          <w:szCs w:val="28"/>
        </w:rPr>
        <w:t>Пролетарская, д. 26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0CD" w:rsidRDefault="00234CF6" w:rsidP="004110CD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администрации Краснокутского муниципального района </w:t>
      </w:r>
      <w:r w:rsidR="00D54F49" w:rsidRPr="00234CF6">
        <w:rPr>
          <w:rFonts w:ascii="Times New Roman" w:hAnsi="Times New Roman" w:cs="Times New Roman"/>
          <w:sz w:val="24"/>
          <w:szCs w:val="24"/>
        </w:rPr>
        <w:t xml:space="preserve">УФК по </w:t>
      </w:r>
      <w:r w:rsidR="004110CD"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</w:p>
    <w:p w:rsidR="004110CD" w:rsidRPr="002A41F1" w:rsidRDefault="004110CD" w:rsidP="004110CD">
      <w:pPr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A41F1">
        <w:rPr>
          <w:rFonts w:ascii="Times New Roman" w:hAnsi="Times New Roman"/>
          <w:iCs/>
          <w:sz w:val="24"/>
          <w:szCs w:val="24"/>
        </w:rPr>
        <w:t xml:space="preserve"> представленные Подрядчиком по обеспечению исполнения контракта и обеспечению гарантийных обязательств подлежат перечислению на счет: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</w:p>
    <w:p w:rsidR="004110CD" w:rsidRPr="002A41F1" w:rsidRDefault="004110CD" w:rsidP="004110CD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4110CD">
      <w:pPr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Допускать Управляющую организацию, а также представителей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ресурсоснабжающей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расный Кут,  ул.</w:t>
      </w:r>
      <w:r w:rsidR="00FD69CE">
        <w:rPr>
          <w:rFonts w:ascii="Times New Roman" w:hAnsi="Times New Roman" w:cs="Times New Roman"/>
          <w:b/>
          <w:sz w:val="24"/>
          <w:szCs w:val="24"/>
        </w:rPr>
        <w:t xml:space="preserve"> Пролетарская, д. 28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расный Кут,  </w:t>
      </w:r>
      <w:r w:rsidR="00FD69CE">
        <w:rPr>
          <w:rFonts w:ascii="Times New Roman" w:hAnsi="Times New Roman" w:cs="Times New Roman"/>
          <w:b/>
          <w:sz w:val="24"/>
          <w:szCs w:val="24"/>
        </w:rPr>
        <w:t>ул. Пролетарская, д. 2</w:t>
      </w:r>
      <w:r w:rsidR="009264CD">
        <w:rPr>
          <w:rFonts w:ascii="Times New Roman" w:hAnsi="Times New Roman" w:cs="Times New Roman"/>
          <w:b/>
          <w:sz w:val="24"/>
          <w:szCs w:val="24"/>
        </w:rPr>
        <w:t>6</w:t>
      </w:r>
      <w:r w:rsidR="004C5CA5" w:rsidRPr="00FD69CE">
        <w:t xml:space="preserve">  </w:t>
      </w:r>
      <w:r w:rsidR="00CA653C" w:rsidRPr="00FD69CE">
        <w:t xml:space="preserve">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FD69CE">
            <w:pPr>
              <w:jc w:val="center"/>
              <w:rPr>
                <w:b/>
                <w:bCs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2</w:t>
            </w:r>
            <w:r w:rsidR="009264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D69CE">
              <w:t xml:space="preserve"> 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9264CD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22952,70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14</w:t>
            </w:r>
            <w:r w:rsidR="008C3C1F">
              <w:t xml:space="preserve"> </w:t>
            </w:r>
            <w:r>
              <w:t>172,96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17 716,20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14172,96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10629,72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1062,97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5314,86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</w:t>
            </w:r>
            <w:r w:rsidRPr="00EF1018">
              <w:lastRenderedPageBreak/>
              <w:t>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98502,07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7086,48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26574,30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8858,10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24802,68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1771,62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26574,30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43227,53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7086,48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121178,81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095C1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8C3C1F" w:rsidP="007F1071">
            <w:pPr>
              <w:widowControl/>
              <w:autoSpaceDE/>
              <w:autoSpaceDN/>
              <w:adjustRightInd/>
              <w:jc w:val="center"/>
            </w:pPr>
            <w:r>
              <w:t>10629,72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C3C1F" w:rsidRPr="00EF1018" w:rsidTr="008C3C1F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C1F" w:rsidRPr="007F1071" w:rsidRDefault="008C3C1F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Default="008C3C1F" w:rsidP="008C3C1F">
            <w:pPr>
              <w:jc w:val="center"/>
            </w:pPr>
            <w:r w:rsidRPr="00225ACE">
              <w:t>10629,72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8C3C1F" w:rsidRPr="00EF1018" w:rsidTr="008C3C1F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3C1F" w:rsidRPr="007F1071" w:rsidRDefault="008C3C1F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</w:t>
            </w:r>
            <w:r w:rsidRPr="007F1071">
              <w:rPr>
                <w:b/>
                <w:bCs/>
              </w:rPr>
              <w:lastRenderedPageBreak/>
              <w:t>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Default="008C3C1F" w:rsidP="008C3C1F">
            <w:pPr>
              <w:jc w:val="center"/>
            </w:pPr>
            <w:r w:rsidRPr="00225ACE">
              <w:lastRenderedPageBreak/>
              <w:t>10629,72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C1F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C3C1F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357458,06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54211,57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</w:pPr>
            <w:r>
              <w:t>1,53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8C3C1F" w:rsidP="00EF1018">
            <w:pPr>
              <w:widowControl/>
              <w:autoSpaceDE/>
              <w:autoSpaceDN/>
              <w:adjustRightInd/>
              <w:jc w:val="center"/>
            </w:pPr>
            <w:r>
              <w:t>2019,65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6A41FF" w:rsidP="00EF1018">
            <w:pPr>
              <w:widowControl/>
              <w:autoSpaceDE/>
              <w:autoSpaceDN/>
              <w:adjustRightInd/>
              <w:jc w:val="center"/>
            </w:pPr>
            <w:r>
              <w:t>0,057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8C3C1F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676FF5">
              <w:rPr>
                <w:b/>
              </w:rPr>
              <w:t xml:space="preserve"> </w:t>
            </w:r>
            <w:r>
              <w:rPr>
                <w:b/>
              </w:rPr>
              <w:t>231,22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6A41FF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4184C">
              <w:rPr>
                <w:b/>
              </w:rPr>
              <w:t>1,587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676FF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413 689,28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4184C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4184C">
              <w:rPr>
                <w:b/>
              </w:rPr>
              <w:t>14,59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676FF5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413 689,28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F4184C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F2" w:rsidRDefault="005E41F2" w:rsidP="00070D95">
      <w:r>
        <w:separator/>
      </w:r>
    </w:p>
  </w:endnote>
  <w:endnote w:type="continuationSeparator" w:id="0">
    <w:p w:rsidR="005E41F2" w:rsidRDefault="005E41F2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F2" w:rsidRDefault="005E41F2" w:rsidP="00070D95">
      <w:r>
        <w:separator/>
      </w:r>
    </w:p>
  </w:footnote>
  <w:footnote w:type="continuationSeparator" w:id="0">
    <w:p w:rsidR="005E41F2" w:rsidRDefault="005E41F2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71CBD"/>
    <w:rsid w:val="00196B07"/>
    <w:rsid w:val="001E506D"/>
    <w:rsid w:val="00234CF6"/>
    <w:rsid w:val="0026334C"/>
    <w:rsid w:val="00293A6C"/>
    <w:rsid w:val="002F544D"/>
    <w:rsid w:val="00355788"/>
    <w:rsid w:val="00373B67"/>
    <w:rsid w:val="00382D02"/>
    <w:rsid w:val="00384CAD"/>
    <w:rsid w:val="003E2E80"/>
    <w:rsid w:val="0040270B"/>
    <w:rsid w:val="00410059"/>
    <w:rsid w:val="004110CD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93C9F"/>
    <w:rsid w:val="005A21E2"/>
    <w:rsid w:val="005E41F2"/>
    <w:rsid w:val="00660F1D"/>
    <w:rsid w:val="006745B8"/>
    <w:rsid w:val="0067500C"/>
    <w:rsid w:val="00676FF5"/>
    <w:rsid w:val="006A41FF"/>
    <w:rsid w:val="00727FF8"/>
    <w:rsid w:val="007725AA"/>
    <w:rsid w:val="00790807"/>
    <w:rsid w:val="007D223C"/>
    <w:rsid w:val="007F1071"/>
    <w:rsid w:val="00805D07"/>
    <w:rsid w:val="00821DD2"/>
    <w:rsid w:val="00856C57"/>
    <w:rsid w:val="008700FB"/>
    <w:rsid w:val="008830A2"/>
    <w:rsid w:val="008C3C1F"/>
    <w:rsid w:val="008D0A08"/>
    <w:rsid w:val="00901D24"/>
    <w:rsid w:val="009264CD"/>
    <w:rsid w:val="00927D92"/>
    <w:rsid w:val="00974625"/>
    <w:rsid w:val="0097796B"/>
    <w:rsid w:val="00996636"/>
    <w:rsid w:val="00A5479D"/>
    <w:rsid w:val="00A943A9"/>
    <w:rsid w:val="00AA756F"/>
    <w:rsid w:val="00AB58E3"/>
    <w:rsid w:val="00AC44CA"/>
    <w:rsid w:val="00AE442A"/>
    <w:rsid w:val="00AE6B09"/>
    <w:rsid w:val="00AF4500"/>
    <w:rsid w:val="00B27AA1"/>
    <w:rsid w:val="00BE111E"/>
    <w:rsid w:val="00BE17A1"/>
    <w:rsid w:val="00C45071"/>
    <w:rsid w:val="00C65F31"/>
    <w:rsid w:val="00CA653C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50</Pages>
  <Words>20971</Words>
  <Characters>119541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59</cp:revision>
  <cp:lastPrinted>2022-04-22T04:16:00Z</cp:lastPrinted>
  <dcterms:created xsi:type="dcterms:W3CDTF">2018-01-10T11:04:00Z</dcterms:created>
  <dcterms:modified xsi:type="dcterms:W3CDTF">2022-04-25T12:08:00Z</dcterms:modified>
</cp:coreProperties>
</file>